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AC" w:rsidRPr="00736AAC" w:rsidRDefault="00736AAC" w:rsidP="00736AAC">
      <w:pPr>
        <w:pStyle w:val="NormalWeb"/>
        <w:shd w:val="clear" w:color="auto" w:fill="FFFFFF"/>
        <w:spacing w:before="0" w:beforeAutospacing="0" w:after="0" w:afterAutospacing="0"/>
        <w:jc w:val="center"/>
        <w:rPr>
          <w:b/>
          <w:bCs/>
          <w:color w:val="000000"/>
          <w:sz w:val="32"/>
          <w:u w:val="single"/>
        </w:rPr>
      </w:pPr>
      <w:r w:rsidRPr="00736AAC">
        <w:rPr>
          <w:b/>
          <w:bCs/>
          <w:color w:val="000000"/>
          <w:sz w:val="32"/>
          <w:u w:val="single"/>
        </w:rPr>
        <w:t>CTP_ RBI Notifications Jan to June 2021</w:t>
      </w:r>
    </w:p>
    <w:p w:rsidR="00736AAC" w:rsidRPr="00736AAC" w:rsidRDefault="00736AAC" w:rsidP="00736AAC">
      <w:pPr>
        <w:pStyle w:val="NormalWeb"/>
        <w:shd w:val="clear" w:color="auto" w:fill="FFFFFF"/>
        <w:spacing w:before="0" w:beforeAutospacing="0" w:after="0" w:afterAutospacing="0"/>
        <w:jc w:val="center"/>
        <w:rPr>
          <w:b/>
          <w:bCs/>
          <w:color w:val="000000"/>
          <w:sz w:val="32"/>
          <w:u w:val="single"/>
        </w:rPr>
      </w:pPr>
    </w:p>
    <w:p w:rsidR="002E2BDE" w:rsidRPr="00BE0E8C" w:rsidRDefault="002E2BDE" w:rsidP="002E2BDE">
      <w:pPr>
        <w:pStyle w:val="NormalWeb"/>
        <w:shd w:val="clear" w:color="auto" w:fill="FFFFFF"/>
        <w:spacing w:before="0" w:beforeAutospacing="0" w:after="0" w:afterAutospacing="0"/>
        <w:jc w:val="both"/>
        <w:rPr>
          <w:b/>
          <w:bCs/>
          <w:color w:val="000000"/>
        </w:rPr>
      </w:pPr>
      <w:r w:rsidRPr="00BE0E8C">
        <w:rPr>
          <w:b/>
          <w:bCs/>
          <w:color w:val="000000"/>
        </w:rPr>
        <w:t>Master Direction - Reserve Bank of India (Call, Notice and Term Money Markets) Directions, 2021</w:t>
      </w:r>
    </w:p>
    <w:p w:rsidR="002E2BDE" w:rsidRPr="00BE0E8C" w:rsidRDefault="002E2BDE" w:rsidP="002E2BDE">
      <w:pPr>
        <w:pStyle w:val="NormalWeb"/>
        <w:shd w:val="clear" w:color="auto" w:fill="FFFFFF"/>
        <w:spacing w:before="0" w:beforeAutospacing="0" w:after="0" w:afterAutospacing="0"/>
        <w:jc w:val="both"/>
        <w:rPr>
          <w:b/>
          <w:bCs/>
          <w:color w:val="000000"/>
        </w:rPr>
      </w:pPr>
    </w:p>
    <w:p w:rsidR="002E2BDE" w:rsidRPr="00BE0E8C" w:rsidRDefault="002E2BDE" w:rsidP="002E2BDE">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2E2BDE" w:rsidRPr="00BE0E8C" w:rsidRDefault="002E2BDE" w:rsidP="002E2BDE">
      <w:pPr>
        <w:pStyle w:val="NormalWeb"/>
        <w:shd w:val="clear" w:color="auto" w:fill="FFFFFF"/>
        <w:spacing w:before="0" w:beforeAutospacing="0" w:after="0" w:afterAutospacing="0"/>
        <w:jc w:val="both"/>
        <w:rPr>
          <w:i/>
          <w:color w:val="000000"/>
          <w:shd w:val="clear" w:color="auto" w:fill="FFFFFF"/>
        </w:rPr>
      </w:pPr>
    </w:p>
    <w:p w:rsidR="002E2BDE" w:rsidRPr="00BE0E8C" w:rsidRDefault="002E2BDE" w:rsidP="002E2BDE">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bookmarkStart w:id="0" w:name="_GoBack"/>
      <w:bookmarkEnd w:id="0"/>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5" w:tgtFrame="_blank" w:history="1">
        <w:r w:rsidRPr="00BE0E8C">
          <w:rPr>
            <w:rStyle w:val="Hyperlink"/>
            <w:u w:val="none"/>
          </w:rPr>
          <w:t>Statement on Developmental and Regulatory Policies, Reserve Bank of India</w:t>
        </w:r>
      </w:hyperlink>
      <w:r w:rsidRPr="00BE0E8C">
        <w:rPr>
          <w:color w:val="000000"/>
        </w:rPr>
        <w:t>, issued as part of the </w:t>
      </w:r>
      <w:hyperlink r:id="rId6" w:tgtFrame="_blank" w:history="1">
        <w:r w:rsidRPr="00BE0E8C">
          <w:rPr>
            <w:rStyle w:val="Hyperlink"/>
            <w:u w:val="none"/>
          </w:rPr>
          <w:t>second Bi-monthly Monetary Policy Statement for 2019-20 dated June 06, 2019</w:t>
        </w:r>
      </w:hyperlink>
      <w:r w:rsidRPr="00BE0E8C">
        <w:rPr>
          <w:color w:val="000000"/>
        </w:rPr>
        <w:t> regarding Comprehensive Review of Money Market Directions.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7" w:anchor="ANN" w:history="1">
        <w:r w:rsidRPr="00BE0E8C">
          <w:rPr>
            <w:rStyle w:val="Hyperlink"/>
            <w:u w:val="none"/>
          </w:rPr>
          <w:t>Directions</w:t>
        </w:r>
      </w:hyperlink>
      <w:r w:rsidRPr="00BE0E8C">
        <w:rPr>
          <w:color w:val="000000"/>
        </w:rPr>
        <w:t> are enclosed herewith.</w:t>
      </w: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8" w:tgtFrame="_blank" w:history="1">
        <w:r w:rsidRPr="00BE0E8C">
          <w:rPr>
            <w:rStyle w:val="Hyperlink"/>
            <w:u w:val="none"/>
          </w:rPr>
          <w:t>FMRD Master Direction No. 2/2016-17 dated July 07, 2016</w:t>
        </w:r>
      </w:hyperlink>
      <w:r w:rsidRPr="00BE0E8C">
        <w:rPr>
          <w:color w:val="000000"/>
        </w:rPr>
        <w:t>, Direction No. </w:t>
      </w:r>
      <w:hyperlink r:id="rId9" w:tgtFrame="_blank" w:history="1">
        <w:r w:rsidRPr="00BE0E8C">
          <w:rPr>
            <w:rStyle w:val="Hyperlink"/>
            <w:u w:val="none"/>
          </w:rPr>
          <w:t>FMRD.DIRD.09/14.01.001/2018-19 dated October 29, 2018</w:t>
        </w:r>
      </w:hyperlink>
      <w:r w:rsidRPr="00BE0E8C">
        <w:rPr>
          <w:color w:val="000000"/>
        </w:rPr>
        <w:t> and Direction No. </w:t>
      </w:r>
      <w:hyperlink r:id="rId10" w:tgtFrame="_blank" w:history="1">
        <w:r w:rsidRPr="00BE0E8C">
          <w:rPr>
            <w:rStyle w:val="Hyperlink"/>
            <w:u w:val="none"/>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2E2BDE" w:rsidRPr="00BE0E8C" w:rsidRDefault="002E2BDE" w:rsidP="002E2BDE">
      <w:pPr>
        <w:pStyle w:val="head"/>
        <w:shd w:val="clear" w:color="auto" w:fill="FFFFFF"/>
        <w:spacing w:before="0" w:beforeAutospacing="0" w:after="0" w:afterAutospacing="0"/>
        <w:jc w:val="both"/>
        <w:rPr>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2E2BDE" w:rsidRPr="00BE0E8C" w:rsidRDefault="002E2BDE" w:rsidP="002E2BDE">
      <w:pPr>
        <w:pStyle w:val="head"/>
        <w:shd w:val="clear" w:color="auto" w:fill="FFFFFF"/>
        <w:spacing w:before="0" w:beforeAutospacing="0" w:after="0" w:afterAutospacing="0"/>
        <w:jc w:val="both"/>
        <w:rPr>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2. Definitions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BE0E8C">
        <w:rPr>
          <w:color w:val="000000"/>
        </w:rPr>
        <w:t>ja</w:t>
      </w:r>
      <w:proofErr w:type="spellEnd"/>
      <w:r w:rsidRPr="00BE0E8C">
        <w:rPr>
          <w:color w:val="000000"/>
        </w:rPr>
        <w:t>), (da) and (</w:t>
      </w:r>
      <w:proofErr w:type="spellStart"/>
      <w:r w:rsidRPr="00BE0E8C">
        <w:rPr>
          <w:color w:val="000000"/>
        </w:rPr>
        <w:t>nc</w:t>
      </w:r>
      <w:proofErr w:type="spellEnd"/>
      <w:r w:rsidRPr="00BE0E8C">
        <w:rPr>
          <w:color w:val="000000"/>
        </w:rPr>
        <w:t>), of section 5 respectively thereof, or a “cooperative bank” as defined in clause (cci) of section 5 read with section 56 of the said Act;</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11" w:tgtFrame="_blank" w:history="1">
        <w:r w:rsidRPr="00BE0E8C">
          <w:rPr>
            <w:rStyle w:val="Hyperlink"/>
            <w:u w:val="none"/>
          </w:rPr>
          <w:t>the Electronic Trading Platform (Reserve Bank) Directions, 2018 dated October 05, 2018</w:t>
        </w:r>
      </w:hyperlink>
      <w:r w:rsidRPr="00BE0E8C">
        <w:rPr>
          <w:color w:val="000000"/>
        </w:rPr>
        <w:t>, as modified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lastRenderedPageBreak/>
        <w:t>“Negotiated Dealing System-CALL” or “NDS-CALL”</w:t>
      </w:r>
      <w:r w:rsidRPr="00BE0E8C">
        <w:rPr>
          <w:color w:val="000000"/>
        </w:rPr>
        <w:t> is the electronic trading platform for execution and reporting of transactions in Call, Notice and Term Money Markets;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2" w:tgtFrame="_blank" w:history="1">
        <w:r w:rsidRPr="00BE0E8C">
          <w:rPr>
            <w:rStyle w:val="Hyperlink"/>
            <w:u w:val="none"/>
          </w:rPr>
          <w:t>Guidelines for Licensing of Payments Banks” dated November 27, 2014</w:t>
        </w:r>
      </w:hyperlink>
      <w:r w:rsidRPr="00BE0E8C">
        <w:rPr>
          <w:color w:val="000000"/>
        </w:rPr>
        <w:t>,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3" w:tgtFrame="_blank" w:history="1">
        <w:r w:rsidRPr="00BE0E8C">
          <w:rPr>
            <w:rStyle w:val="Hyperlink"/>
            <w:u w:val="none"/>
          </w:rPr>
          <w:t>Guidelines for Licensing of Small Finance Banks” dated November 27, 2014</w:t>
        </w:r>
      </w:hyperlink>
      <w:r w:rsidRPr="00BE0E8C">
        <w:rPr>
          <w:color w:val="000000"/>
        </w:rPr>
        <w:t>,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2E2BDE"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3. Participants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Payment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Small Finance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Regional Rural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Primary Dealers.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4. Prudential limits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4" w:anchor="T1" w:history="1">
        <w:r w:rsidRPr="00BE0E8C">
          <w:rPr>
            <w:rStyle w:val="Hyperlink"/>
            <w:u w:val="none"/>
          </w:rPr>
          <w:t>Table 1</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3219"/>
        <w:gridCol w:w="3909"/>
      </w:tblGrid>
      <w:tr w:rsidR="002E2BDE" w:rsidRPr="00BE0E8C" w:rsidTr="00C20495">
        <w:trPr>
          <w:jc w:val="center"/>
        </w:trPr>
        <w:tc>
          <w:tcPr>
            <w:tcW w:w="0" w:type="auto"/>
            <w:gridSpan w:val="3"/>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2E2BDE" w:rsidRPr="00BE0E8C" w:rsidTr="00C20495">
        <w:trPr>
          <w:jc w:val="center"/>
        </w:trPr>
        <w:tc>
          <w:tcPr>
            <w:tcW w:w="35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1.</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2E2BDE" w:rsidRPr="00BE0E8C" w:rsidRDefault="002E2BDE" w:rsidP="00C20495">
            <w:pPr>
              <w:pStyle w:val="NormalWeb"/>
              <w:spacing w:before="0" w:beforeAutospacing="0" w:after="0" w:afterAutospacing="0"/>
              <w:jc w:val="both"/>
              <w:rPr>
                <w:color w:val="000000"/>
              </w:rPr>
            </w:pPr>
            <w:r w:rsidRPr="00BE0E8C">
              <w:rPr>
                <w:color w:val="000000"/>
              </w:rPr>
              <w:t>(ii) 125% of capital funds on any given day.</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xml:space="preserve">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for setting of limits in the NDS-CALL platform, under advice to the Financial Markets Regulation Department (FMRD) of the Reserve Bank through </w:t>
      </w:r>
      <w:hyperlink r:id="rId15" w:tgtFrame="_blank" w:history="1">
        <w:r w:rsidRPr="00BE0E8C">
          <w:rPr>
            <w:rStyle w:val="Hyperlink"/>
            <w:u w:val="none"/>
          </w:rPr>
          <w:t>e-mail</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5. General guidelines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lastRenderedPageBreak/>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Any misreporting or multiple reporting of the same OTC markets deal by a counterparty shall be immediately brought to the notice of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and also to the Financial Markets Regulation Department, Reserve Bank of India, Central Office, Fort, Mumbai, through </w:t>
      </w:r>
      <w:hyperlink r:id="rId16" w:history="1">
        <w:r w:rsidRPr="00BE0E8C">
          <w:rPr>
            <w:rStyle w:val="Hyperlink"/>
            <w:u w:val="none"/>
          </w:rPr>
          <w:t>email</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17" w:tgtFrame="_blank" w:history="1">
        <w:r w:rsidRPr="00BE0E8C">
          <w:rPr>
            <w:rStyle w:val="Hyperlink"/>
            <w:u w:val="none"/>
          </w:rPr>
          <w:t>FMRD Master Direction No. 2/2016-17 dated July 07, 2016</w:t>
        </w:r>
      </w:hyperlink>
      <w:r w:rsidRPr="00BE0E8C">
        <w:rPr>
          <w:color w:val="000000"/>
        </w:rPr>
        <w:t>; Direction No. </w:t>
      </w:r>
      <w:hyperlink r:id="rId18" w:tgtFrame="_blank" w:history="1">
        <w:r w:rsidRPr="00BE0E8C">
          <w:rPr>
            <w:rStyle w:val="Hyperlink"/>
            <w:u w:val="none"/>
          </w:rPr>
          <w:t>FMRD.DIRD.09/14.01.001/2018-19 dated October 29, 2018</w:t>
        </w:r>
      </w:hyperlink>
      <w:r w:rsidRPr="00BE0E8C">
        <w:rPr>
          <w:color w:val="000000"/>
        </w:rPr>
        <w:t> and Direction No. </w:t>
      </w:r>
      <w:hyperlink r:id="rId19" w:tgtFrame="_blank" w:history="1">
        <w:r w:rsidRPr="00BE0E8C">
          <w:rPr>
            <w:rStyle w:val="Hyperlink"/>
            <w:u w:val="none"/>
          </w:rPr>
          <w:t>FMRD.DIRD.01/14.01.001/2020-21 dated December 04, 2020</w:t>
        </w:r>
      </w:hyperlink>
      <w:r w:rsidRPr="00BE0E8C">
        <w:rPr>
          <w:color w:val="000000"/>
        </w:rPr>
        <w:t>, shall continue to be applicable to transactions undertaken in accordance with the said Directions till the expiry of those contracts.</w:t>
      </w:r>
    </w:p>
    <w:p w:rsidR="002E2BDE" w:rsidRDefault="002E2BDE" w:rsidP="002E2BDE">
      <w:pPr>
        <w:pStyle w:val="NormalWeb"/>
        <w:pBdr>
          <w:bottom w:val="single" w:sz="12" w:space="1" w:color="auto"/>
        </w:pBdr>
        <w:shd w:val="clear" w:color="auto" w:fill="FFFFFF"/>
        <w:spacing w:before="0" w:beforeAutospacing="0" w:after="0" w:afterAutospacing="0"/>
        <w:jc w:val="both"/>
      </w:pPr>
    </w:p>
    <w:p w:rsidR="002E2BDE" w:rsidRPr="00BE0E8C" w:rsidRDefault="00736AAC" w:rsidP="002E2BDE">
      <w:pPr>
        <w:pStyle w:val="NormalWeb"/>
        <w:pBdr>
          <w:bottom w:val="single" w:sz="12" w:space="1" w:color="auto"/>
        </w:pBdr>
        <w:shd w:val="clear" w:color="auto" w:fill="FFFFFF"/>
        <w:spacing w:before="0" w:beforeAutospacing="0" w:after="0" w:afterAutospacing="0"/>
        <w:jc w:val="both"/>
        <w:rPr>
          <w:color w:val="000000"/>
        </w:rPr>
      </w:pPr>
      <w:hyperlink r:id="rId20" w:history="1">
        <w:r w:rsidR="002E2BDE" w:rsidRPr="00BE0E8C">
          <w:rPr>
            <w:rStyle w:val="Hyperlink"/>
          </w:rPr>
          <w:t>https://www.rbi.org.in/Scripts/NotificationUser.aspx?Id=12061&amp;Mode=0</w:t>
        </w:r>
      </w:hyperlink>
    </w:p>
    <w:p w:rsidR="00AC2BF8" w:rsidRDefault="00736AAC"/>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Reserve Bank of India (Call, Notice and Term Money Markets) Directions, 2021</w:t>
      </w:r>
    </w:p>
    <w:p w:rsidR="002E2BDE" w:rsidRDefault="002E2BDE" w:rsidP="002E2BDE">
      <w:pPr>
        <w:pStyle w:val="NormalWeb"/>
        <w:shd w:val="clear" w:color="auto" w:fill="FFFFFF"/>
        <w:spacing w:before="0" w:beforeAutospacing="0" w:after="0" w:afterAutospacing="0"/>
        <w:jc w:val="both"/>
        <w:rPr>
          <w:color w:val="000000"/>
        </w:rPr>
      </w:pPr>
    </w:p>
    <w:p w:rsidR="002E2BDE" w:rsidRPr="00544DBA" w:rsidRDefault="002E2BDE" w:rsidP="002E2BDE">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2E2BDE" w:rsidRPr="00544DBA" w:rsidRDefault="002E2BDE" w:rsidP="002E2BDE">
      <w:pPr>
        <w:pStyle w:val="NormalWeb"/>
        <w:shd w:val="clear" w:color="auto" w:fill="FFFFFF"/>
        <w:spacing w:before="0" w:beforeAutospacing="0" w:after="0" w:afterAutospacing="0"/>
        <w:jc w:val="both"/>
        <w:rPr>
          <w:b/>
          <w:color w:val="000000"/>
        </w:rPr>
      </w:pPr>
    </w:p>
    <w:p w:rsidR="002E2BDE" w:rsidRPr="00544DBA" w:rsidRDefault="002E2BDE" w:rsidP="002E2BDE">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2E2BDE" w:rsidRPr="00544DBA" w:rsidRDefault="002E2BDE" w:rsidP="002E2BDE">
      <w:pPr>
        <w:pStyle w:val="NormalWeb"/>
        <w:shd w:val="clear" w:color="auto" w:fill="FFFFFF"/>
        <w:spacing w:before="0" w:beforeAutospacing="0" w:after="0" w:afterAutospacing="0"/>
        <w:jc w:val="both"/>
        <w:rPr>
          <w:i/>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Default="002E2BDE" w:rsidP="002E2BDE">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2E2BDE" w:rsidRPr="00544DBA" w:rsidRDefault="002E2BDE" w:rsidP="002E2BDE">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2678"/>
        <w:gridCol w:w="4950"/>
      </w:tblGrid>
      <w:tr w:rsidR="002E2BDE" w:rsidRPr="00544DBA" w:rsidTr="00C20495">
        <w:tc>
          <w:tcPr>
            <w:tcW w:w="0" w:type="auto"/>
            <w:gridSpan w:val="3"/>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2E2BDE" w:rsidRPr="00544DBA" w:rsidTr="00C20495">
        <w:tc>
          <w:tcPr>
            <w:tcW w:w="30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lastRenderedPageBreak/>
              <w:t>Sr. No.</w:t>
            </w:r>
          </w:p>
        </w:tc>
        <w:tc>
          <w:tcPr>
            <w:tcW w:w="165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Default="002E2BDE" w:rsidP="002E2BD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2E2BDE" w:rsidRPr="00C760EA" w:rsidRDefault="002E2BDE" w:rsidP="002E2BDE">
      <w:pPr>
        <w:pStyle w:val="NormalWeb"/>
        <w:pBdr>
          <w:bottom w:val="single" w:sz="12" w:space="1" w:color="auto"/>
        </w:pBdr>
        <w:shd w:val="clear" w:color="auto" w:fill="FFFFFF"/>
        <w:spacing w:before="0" w:beforeAutospacing="0" w:after="0" w:afterAutospacing="0"/>
        <w:jc w:val="both"/>
        <w:rPr>
          <w:color w:val="000000"/>
        </w:rPr>
      </w:pPr>
    </w:p>
    <w:p w:rsidR="002E2BDE" w:rsidRDefault="00736AAC" w:rsidP="002E2BDE">
      <w:pPr>
        <w:pStyle w:val="NormalWeb"/>
        <w:pBdr>
          <w:bottom w:val="single" w:sz="12" w:space="1" w:color="auto"/>
        </w:pBdr>
        <w:shd w:val="clear" w:color="auto" w:fill="FFFFFF"/>
        <w:spacing w:before="0" w:beforeAutospacing="0" w:after="0" w:afterAutospacing="0"/>
        <w:jc w:val="both"/>
        <w:rPr>
          <w:color w:val="000000"/>
        </w:rPr>
      </w:pPr>
      <w:hyperlink r:id="rId21" w:history="1">
        <w:r w:rsidR="002E2BDE" w:rsidRPr="00C760EA">
          <w:rPr>
            <w:rStyle w:val="Hyperlink"/>
          </w:rPr>
          <w:t>https://www.rbi.org.in/Scripts/NotificationUser.aspx?Id=12120&amp;Mode=0</w:t>
        </w:r>
      </w:hyperlink>
      <w:r w:rsidR="002E2BDE" w:rsidRPr="00C760EA">
        <w:rPr>
          <w:color w:val="000000"/>
        </w:rPr>
        <w:t xml:space="preserve"> </w:t>
      </w:r>
    </w:p>
    <w:p w:rsidR="002E2BDE" w:rsidRDefault="002E2BDE"/>
    <w:p w:rsidR="002E2BDE" w:rsidRDefault="002E2BDE"/>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Investment in Entities from FATF Non-</w:t>
      </w:r>
      <w:proofErr w:type="gramStart"/>
      <w:r w:rsidRPr="00C760EA">
        <w:rPr>
          <w:b/>
          <w:bCs/>
          <w:color w:val="000000"/>
        </w:rPr>
        <w:t>compliant</w:t>
      </w:r>
      <w:proofErr w:type="gramEnd"/>
      <w:r w:rsidRPr="00C760EA">
        <w:rPr>
          <w:b/>
          <w:bCs/>
          <w:color w:val="000000"/>
        </w:rPr>
        <w:t xml:space="preserve"> Jurisdictions</w:t>
      </w:r>
    </w:p>
    <w:p w:rsidR="002E2BDE" w:rsidRPr="00762028" w:rsidRDefault="002E2BDE" w:rsidP="002E2BDE">
      <w:pPr>
        <w:pStyle w:val="NormalWeb"/>
        <w:shd w:val="clear" w:color="auto" w:fill="FFFFFF"/>
        <w:spacing w:before="0" w:beforeAutospacing="0" w:after="0" w:afterAutospacing="0"/>
        <w:jc w:val="both"/>
        <w:rPr>
          <w:b/>
          <w:color w:val="000000"/>
        </w:rPr>
      </w:pPr>
    </w:p>
    <w:p w:rsidR="002E2BDE" w:rsidRPr="00762028" w:rsidRDefault="002E2BDE" w:rsidP="002E2BDE">
      <w:pPr>
        <w:pStyle w:val="NormalWeb"/>
        <w:shd w:val="clear" w:color="auto" w:fill="FFFFFF"/>
        <w:spacing w:before="0" w:beforeAutospacing="0" w:after="0" w:afterAutospacing="0"/>
        <w:jc w:val="both"/>
        <w:rPr>
          <w:b/>
          <w:color w:val="000000"/>
        </w:rPr>
      </w:pPr>
      <w:proofErr w:type="gramStart"/>
      <w:r w:rsidRPr="00762028">
        <w:rPr>
          <w:b/>
          <w:color w:val="000000"/>
        </w:rPr>
        <w:t>RBI/2021-22/55CO.DPSS.AUTH.No.S</w:t>
      </w:r>
      <w:proofErr w:type="gramEnd"/>
      <w:r w:rsidRPr="00762028">
        <w:rPr>
          <w:b/>
          <w:color w:val="000000"/>
        </w:rPr>
        <w:t>190/02.27.005/2021-22</w:t>
      </w:r>
      <w:r w:rsidRPr="00762028">
        <w:rPr>
          <w:b/>
          <w:color w:val="000000"/>
        </w:rPr>
        <w:tab/>
      </w:r>
      <w:r w:rsidRPr="00762028">
        <w:rPr>
          <w:b/>
          <w:color w:val="000000"/>
        </w:rPr>
        <w:tab/>
        <w:t>June 14, 2021</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762028" w:rsidRDefault="002E2BDE" w:rsidP="002E2BDE">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lastRenderedPageBreak/>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762028" w:rsidRDefault="002E2BDE" w:rsidP="002E2BDE">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2E2BDE" w:rsidRDefault="002E2BDE"/>
    <w:p w:rsidR="002E2BDE" w:rsidRDefault="002E2BDE"/>
    <w:p w:rsidR="002E2BDE" w:rsidRPr="00BE0E8C" w:rsidRDefault="002E2BDE" w:rsidP="002E2BD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Risk Based Internal Audit (RBIA) Framework – Strengthening Governance arrangements</w:t>
      </w:r>
    </w:p>
    <w:p w:rsidR="002E2BDE" w:rsidRPr="00BE0E8C" w:rsidRDefault="002E2BDE" w:rsidP="002E2BDE">
      <w:pPr>
        <w:spacing w:after="0" w:line="240" w:lineRule="auto"/>
        <w:jc w:val="both"/>
        <w:rPr>
          <w:rFonts w:ascii="Times New Roman" w:hAnsi="Times New Roman" w:cs="Times New Roman"/>
          <w:b/>
          <w:sz w:val="24"/>
          <w:szCs w:val="24"/>
        </w:rPr>
      </w:pPr>
    </w:p>
    <w:p w:rsidR="002E2BDE" w:rsidRPr="00BE0E8C" w:rsidRDefault="002E2BDE" w:rsidP="002E2BD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w:t>
      </w:r>
      <w:proofErr w:type="spellStart"/>
      <w:proofErr w:type="gramStart"/>
      <w:r w:rsidRPr="00BE0E8C">
        <w:rPr>
          <w:rFonts w:ascii="Times New Roman" w:hAnsi="Times New Roman" w:cs="Times New Roman"/>
          <w:b/>
          <w:sz w:val="24"/>
          <w:szCs w:val="24"/>
        </w:rPr>
        <w:t>Ref.No.DoS.CO.PPG</w:t>
      </w:r>
      <w:proofErr w:type="spellEnd"/>
      <w:r w:rsidRPr="00BE0E8C">
        <w:rPr>
          <w:rFonts w:ascii="Times New Roman" w:hAnsi="Times New Roman" w:cs="Times New Roman"/>
          <w:b/>
          <w:sz w:val="24"/>
          <w:szCs w:val="24"/>
        </w:rPr>
        <w:t>./</w:t>
      </w:r>
      <w:proofErr w:type="gramEnd"/>
      <w:r w:rsidRPr="00BE0E8C">
        <w:rPr>
          <w:rFonts w:ascii="Times New Roman" w:hAnsi="Times New Roman" w:cs="Times New Roman"/>
          <w:b/>
          <w:sz w:val="24"/>
          <w:szCs w:val="24"/>
        </w:rPr>
        <w:t xml:space="preserve">SEC.04/11.01.005/2020-21 </w:t>
      </w:r>
      <w:r w:rsidRPr="00BE0E8C">
        <w:rPr>
          <w:rFonts w:ascii="Times New Roman" w:hAnsi="Times New Roman" w:cs="Times New Roman"/>
          <w:b/>
          <w:sz w:val="24"/>
          <w:szCs w:val="24"/>
        </w:rPr>
        <w:tab/>
        <w:t>January 07, 2021</w:t>
      </w:r>
    </w:p>
    <w:p w:rsidR="002E2BDE" w:rsidRPr="00BE0E8C" w:rsidRDefault="002E2BDE" w:rsidP="002E2BDE">
      <w:pPr>
        <w:spacing w:after="0" w:line="240" w:lineRule="auto"/>
        <w:jc w:val="both"/>
        <w:rPr>
          <w:rFonts w:ascii="Times New Roman" w:hAnsi="Times New Roman" w:cs="Times New Roman"/>
          <w:sz w:val="24"/>
          <w:szCs w:val="24"/>
        </w:rPr>
      </w:pPr>
    </w:p>
    <w:p w:rsidR="002E2BDE" w:rsidRPr="00BE0E8C" w:rsidRDefault="002E2BDE" w:rsidP="002E2BDE">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2E2BDE" w:rsidRPr="00BE0E8C" w:rsidRDefault="002E2BDE" w:rsidP="002E2BDE">
      <w:pPr>
        <w:spacing w:after="0" w:line="240" w:lineRule="auto"/>
        <w:jc w:val="both"/>
        <w:rPr>
          <w:rFonts w:ascii="Times New Roman" w:hAnsi="Times New Roman" w:cs="Times New Roman"/>
          <w:sz w:val="24"/>
          <w:szCs w:val="24"/>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22"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2E2BDE" w:rsidRPr="00BE0E8C" w:rsidRDefault="002E2BDE" w:rsidP="002E2BDE">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23"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2E2BDE" w:rsidRPr="00BE0E8C" w:rsidRDefault="002E2BDE"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736AAC"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4" w:history="1">
        <w:r w:rsidR="002E2BDE" w:rsidRPr="00BE0E8C">
          <w:rPr>
            <w:rStyle w:val="Hyperlink"/>
            <w:rFonts w:ascii="Times New Roman" w:eastAsia="Times New Roman" w:hAnsi="Times New Roman" w:cs="Times New Roman"/>
            <w:sz w:val="24"/>
            <w:szCs w:val="24"/>
            <w:lang w:eastAsia="en-IN"/>
          </w:rPr>
          <w:t>https://www.rbi.org.in/Scripts/NotificationUser.aspx?Id=12011&amp;Mode=0</w:t>
        </w:r>
      </w:hyperlink>
      <w:r w:rsidR="002E2BDE" w:rsidRPr="00BE0E8C">
        <w:rPr>
          <w:rFonts w:ascii="Times New Roman" w:eastAsia="Times New Roman" w:hAnsi="Times New Roman" w:cs="Times New Roman"/>
          <w:color w:val="000000"/>
          <w:sz w:val="24"/>
          <w:szCs w:val="24"/>
          <w:lang w:eastAsia="en-IN"/>
        </w:rPr>
        <w:t xml:space="preserve"> </w:t>
      </w:r>
    </w:p>
    <w:p w:rsidR="002E2BDE" w:rsidRPr="00BE0E8C" w:rsidRDefault="002E2BDE" w:rsidP="002E2BD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E2BDE" w:rsidRDefault="002E2BDE"/>
    <w:p w:rsidR="002E2BDE" w:rsidRPr="00C760EA" w:rsidRDefault="002E2BDE" w:rsidP="002E2BDE">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Transactions in Government securities by Foreign Portfolio Investors: Reporting</w:t>
      </w:r>
    </w:p>
    <w:p w:rsidR="002E2BDE" w:rsidRDefault="002E2BDE" w:rsidP="002E2BDE">
      <w:pPr>
        <w:shd w:val="clear" w:color="auto" w:fill="FFFFFF"/>
        <w:spacing w:after="0" w:line="240" w:lineRule="auto"/>
        <w:jc w:val="both"/>
        <w:rPr>
          <w:rFonts w:ascii="Times New Roman" w:hAnsi="Times New Roman" w:cs="Times New Roman"/>
          <w:color w:val="000000"/>
          <w:sz w:val="24"/>
          <w:szCs w:val="24"/>
        </w:rPr>
      </w:pPr>
    </w:p>
    <w:p w:rsidR="002E2BDE" w:rsidRPr="00762028" w:rsidRDefault="002E2BDE" w:rsidP="002E2BDE">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2E2BDE" w:rsidRDefault="002E2BDE" w:rsidP="002E2BDE">
      <w:pPr>
        <w:pStyle w:val="NormalWeb"/>
        <w:shd w:val="clear" w:color="auto" w:fill="FFFFFF"/>
        <w:spacing w:before="0" w:beforeAutospacing="0" w:after="0" w:afterAutospacing="0"/>
        <w:jc w:val="both"/>
        <w:rPr>
          <w:i/>
          <w:color w:val="000000"/>
        </w:rPr>
      </w:pPr>
    </w:p>
    <w:p w:rsidR="002E2BDE" w:rsidRPr="00762028" w:rsidRDefault="002E2BDE" w:rsidP="002E2BDE">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 xml:space="preserve">Information about trades undertaken by domestic counterparties with FPIs shall be disseminated by the </w:t>
      </w:r>
      <w:proofErr w:type="spellStart"/>
      <w:r w:rsidRPr="00C760EA">
        <w:rPr>
          <w:color w:val="000000"/>
        </w:rPr>
        <w:t>Clearcorp</w:t>
      </w:r>
      <w:proofErr w:type="spellEnd"/>
      <w:r w:rsidRPr="00C760EA">
        <w:rPr>
          <w:color w:val="000000"/>
        </w:rPr>
        <w:t xml:space="preserve"> Dealing Systems (India) Ltd. (CDSL) after one leg of the trade is reported on the NDS-OM platform by the domestic counterparty with a suitable qualifier to indicate that the trade is awaiting counterparty confirmation.</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lastRenderedPageBreak/>
        <w:t>4. These Directions are issued under the powers vested in the Reserve Bank of India under Section 45W of the Reserve Bank of India Act, 1934 and are without prejudice to permissions/ approvals, if any, required under any other law.</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2E2BDE" w:rsidRDefault="002E2BDE"/>
    <w:p w:rsidR="002E2BDE" w:rsidRPr="00C760EA" w:rsidRDefault="002E2BDE" w:rsidP="002E2BDE">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Master Direction – Reserve Bank of India (Certificate of Deposit) Directions, 2021</w:t>
      </w:r>
    </w:p>
    <w:p w:rsidR="002E2BDE"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762028" w:rsidRDefault="002E2BDE" w:rsidP="002E2BD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2E2BDE" w:rsidRDefault="002E2BDE" w:rsidP="002E2BDE">
      <w:pPr>
        <w:pStyle w:val="NormalWeb"/>
        <w:spacing w:before="0" w:beforeAutospacing="0" w:after="0" w:afterAutospacing="0"/>
        <w:jc w:val="both"/>
        <w:rPr>
          <w:color w:val="000000"/>
        </w:rPr>
      </w:pPr>
    </w:p>
    <w:p w:rsidR="002E2BDE" w:rsidRPr="00762028" w:rsidRDefault="002E2BDE" w:rsidP="002E2BDE">
      <w:pPr>
        <w:pStyle w:val="NormalWeb"/>
        <w:spacing w:before="0" w:beforeAutospacing="0" w:after="0" w:afterAutospacing="0"/>
        <w:jc w:val="both"/>
        <w:rPr>
          <w:i/>
          <w:color w:val="000000"/>
        </w:rPr>
      </w:pPr>
      <w:r w:rsidRPr="00762028">
        <w:rPr>
          <w:i/>
          <w:color w:val="000000"/>
        </w:rPr>
        <w:t>All Eligible Market Participants</w:t>
      </w:r>
    </w:p>
    <w:p w:rsidR="002E2BDE" w:rsidRDefault="002E2BDE" w:rsidP="002E2BDE">
      <w:pPr>
        <w:pStyle w:val="NormalWeb"/>
        <w:spacing w:before="0" w:beforeAutospacing="0" w:after="0" w:afterAutospacing="0"/>
        <w:jc w:val="both"/>
        <w:rPr>
          <w:color w:val="000000"/>
        </w:rPr>
      </w:pPr>
    </w:p>
    <w:p w:rsidR="002E2BDE" w:rsidRPr="00C760EA" w:rsidRDefault="002E2BDE" w:rsidP="002E2BDE">
      <w:pPr>
        <w:pStyle w:val="NormalWeb"/>
        <w:spacing w:before="0" w:beforeAutospacing="0" w:after="0" w:afterAutospacing="0"/>
        <w:jc w:val="both"/>
        <w:rPr>
          <w:color w:val="000000"/>
        </w:rPr>
      </w:pPr>
      <w:r w:rsidRPr="00C760EA">
        <w:rPr>
          <w:color w:val="000000"/>
        </w:rPr>
        <w:t>Please refer to Paragraph 6 of the </w:t>
      </w:r>
      <w:hyperlink r:id="rId25" w:tgtFrame="_blank" w:history="1">
        <w:r w:rsidRPr="00C760EA">
          <w:rPr>
            <w:rStyle w:val="Hyperlink"/>
          </w:rPr>
          <w:t>Statement on Developmental and Regulatory Policies</w:t>
        </w:r>
      </w:hyperlink>
      <w:r w:rsidRPr="00C760EA">
        <w:rPr>
          <w:color w:val="000000"/>
        </w:rPr>
        <w:t>, announced as a part of the </w:t>
      </w:r>
      <w:hyperlink r:id="rId26"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27" w:tgtFrame="_blank" w:history="1">
        <w:r w:rsidRPr="00C760EA">
          <w:rPr>
            <w:rStyle w:val="Hyperlink"/>
          </w:rPr>
          <w:t>Statement on Developmental and Regulatory Policies</w:t>
        </w:r>
      </w:hyperlink>
      <w:r w:rsidRPr="00C760EA">
        <w:rPr>
          <w:color w:val="000000"/>
        </w:rPr>
        <w:t>, announced as a part of the </w:t>
      </w:r>
      <w:hyperlink r:id="rId28"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2E2BDE" w:rsidRDefault="002E2BDE" w:rsidP="002E2BDE">
      <w:pPr>
        <w:pStyle w:val="NormalWeb"/>
        <w:spacing w:before="0" w:beforeAutospacing="0" w:after="0" w:afterAutospacing="0"/>
        <w:jc w:val="both"/>
        <w:rPr>
          <w:color w:val="000000"/>
        </w:rPr>
      </w:pPr>
    </w:p>
    <w:p w:rsidR="002E2BDE" w:rsidRPr="00C760EA" w:rsidRDefault="002E2BDE" w:rsidP="002E2BDE">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29"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2E2BDE" w:rsidRPr="00C760EA" w:rsidRDefault="002E2BDE" w:rsidP="002E2BDE">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proofErr w:type="spellStart"/>
      <w:r>
        <w:fldChar w:fldCharType="begin"/>
      </w:r>
      <w:r>
        <w:instrText xml:space="preserve"> HYPERLINK "https://www.rbi.org.in/Scripts/BS_ViewMasDirections.aspx?id=10495" \t "_blank" </w:instrText>
      </w:r>
      <w:r>
        <w:fldChar w:fldCharType="separate"/>
      </w:r>
      <w:r w:rsidRPr="00C760EA">
        <w:rPr>
          <w:rStyle w:val="Hyperlink"/>
        </w:rPr>
        <w:t>FMRD.Master</w:t>
      </w:r>
      <w:proofErr w:type="spellEnd"/>
      <w:r w:rsidRPr="00C760EA">
        <w:rPr>
          <w:rStyle w:val="Hyperlink"/>
        </w:rPr>
        <w:t xml:space="preserve"> Direction No. 2/2016-17 dated July 07, 2016</w:t>
      </w:r>
      <w:r>
        <w:rPr>
          <w:rStyle w:val="Hyperlink"/>
        </w:rPr>
        <w:fldChar w:fldCharType="end"/>
      </w:r>
      <w:r w:rsidRPr="00C760EA">
        <w:rPr>
          <w:color w:val="000000"/>
        </w:rPr>
        <w:t>, the Reserve Bank of India (hereinafter called the Reserve Bank) hereby issues the following Directions to all persons and agencies eligible to deal in Certificate of Deposit.</w:t>
      </w:r>
    </w:p>
    <w:p w:rsidR="002E2BDE" w:rsidRDefault="002E2BDE" w:rsidP="002E2BDE">
      <w:pPr>
        <w:pStyle w:val="head"/>
        <w:spacing w:before="0" w:beforeAutospacing="0" w:after="0" w:afterAutospacing="0"/>
        <w:jc w:val="both"/>
        <w:rPr>
          <w:b/>
          <w:bCs/>
          <w:color w:val="000000"/>
        </w:rPr>
      </w:pPr>
    </w:p>
    <w:p w:rsidR="002E2BDE" w:rsidRDefault="002E2BDE" w:rsidP="002E2BDE">
      <w:pPr>
        <w:pStyle w:val="head"/>
        <w:spacing w:before="0" w:beforeAutospacing="0" w:after="0" w:afterAutospacing="0"/>
        <w:jc w:val="both"/>
        <w:rPr>
          <w:b/>
          <w:bCs/>
          <w:color w:val="000000"/>
        </w:rPr>
      </w:pPr>
      <w:r>
        <w:rPr>
          <w:b/>
          <w:bCs/>
          <w:color w:val="000000"/>
        </w:rPr>
        <w:t>Master Direction</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1. Short title, scope and commencement</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2. Definitions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C760EA">
        <w:rPr>
          <w:color w:val="000000"/>
        </w:rPr>
        <w:t>ja</w:t>
      </w:r>
      <w:proofErr w:type="spellEnd"/>
      <w:r w:rsidRPr="00C760EA">
        <w:rPr>
          <w:color w:val="000000"/>
        </w:rPr>
        <w:t>), (da) and (</w:t>
      </w:r>
      <w:proofErr w:type="spellStart"/>
      <w:r w:rsidRPr="00C760EA">
        <w:rPr>
          <w:color w:val="000000"/>
        </w:rPr>
        <w:t>nc</w:t>
      </w:r>
      <w:proofErr w:type="spellEnd"/>
      <w:r w:rsidRPr="00C760EA">
        <w:rPr>
          <w:color w:val="000000"/>
        </w:rPr>
        <w:t>), of section 5 respectively thereof, or a “cooperative bank” as defined in clause (cci) of section 5 read with section 56 of the said Act;</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xml:space="preserve"> is a negotiable, unsecured money market instrument issued by a bank as a </w:t>
      </w:r>
      <w:proofErr w:type="spellStart"/>
      <w:r w:rsidRPr="00C760EA">
        <w:rPr>
          <w:color w:val="000000"/>
        </w:rPr>
        <w:t>Usance</w:t>
      </w:r>
      <w:proofErr w:type="spellEnd"/>
      <w:r w:rsidRPr="00C760EA">
        <w:rPr>
          <w:color w:val="000000"/>
        </w:rPr>
        <w:t xml:space="preserve"> Promissory Note against funds deposited at the bank for a maturity period </w:t>
      </w:r>
      <w:proofErr w:type="spellStart"/>
      <w:r w:rsidRPr="00C760EA">
        <w:rPr>
          <w:color w:val="000000"/>
        </w:rPr>
        <w:t>upto</w:t>
      </w:r>
      <w:proofErr w:type="spellEnd"/>
      <w:r w:rsidRPr="00C760EA">
        <w:rPr>
          <w:color w:val="000000"/>
        </w:rPr>
        <w:t xml:space="preserve"> one year;</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lastRenderedPageBreak/>
        <w:t>“Delivery versus Payment” or “</w:t>
      </w:r>
      <w:proofErr w:type="spellStart"/>
      <w:r w:rsidRPr="00C760EA">
        <w:rPr>
          <w:rStyle w:val="head1"/>
          <w:b/>
          <w:bCs/>
          <w:color w:val="000000"/>
        </w:rPr>
        <w:t>DvP</w:t>
      </w:r>
      <w:proofErr w:type="spellEnd"/>
      <w:r w:rsidRPr="00C760EA">
        <w:rPr>
          <w:rStyle w:val="head1"/>
          <w:b/>
          <w:bCs/>
          <w:color w:val="000000"/>
        </w:rPr>
        <w:t>”</w:t>
      </w:r>
      <w:r w:rsidRPr="00C760EA">
        <w:rPr>
          <w:color w:val="000000"/>
        </w:rPr>
        <w:t> means a settlement mechanism which stipulates that transfer of funds from the buyer of securities is made simultaneously with the transfer of securities by the seller of securities;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30" w:tgtFrame="_blank" w:history="1">
        <w:r w:rsidRPr="00C760EA">
          <w:rPr>
            <w:rStyle w:val="Hyperlink"/>
          </w:rPr>
          <w:t>Financial Benchmark Administrators (Reserve Bank) Directions, dated June 26, 2019</w:t>
        </w:r>
      </w:hyperlink>
      <w:r w:rsidRPr="00C760EA">
        <w:rPr>
          <w:color w:val="000000"/>
        </w:rPr>
        <w:t>;</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31" w:tgtFrame="_blank" w:history="1">
        <w:r w:rsidRPr="00C760EA">
          <w:rPr>
            <w:rStyle w:val="Hyperlink"/>
          </w:rPr>
          <w:t>Guidelines for Licensing of Small Finance Banks” dated November 27, 2014</w:t>
        </w:r>
      </w:hyperlink>
      <w:r w:rsidRPr="00C760EA">
        <w:rPr>
          <w:color w:val="000000"/>
        </w:rPr>
        <w:t>, as amended from time to time.</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3. Eligible issuers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Scheduled Commercial Banks;</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Regional Rural Banks; and</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Small Finance Banks.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32"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4. Eligible investors</w:t>
      </w:r>
    </w:p>
    <w:p w:rsidR="002E2BDE" w:rsidRPr="00C760EA" w:rsidRDefault="002E2BDE" w:rsidP="002E2BDE">
      <w:pPr>
        <w:pStyle w:val="NormalWeb"/>
        <w:spacing w:before="0" w:beforeAutospacing="0" w:after="0" w:afterAutospacing="0"/>
        <w:jc w:val="both"/>
        <w:rPr>
          <w:color w:val="000000"/>
        </w:rPr>
      </w:pPr>
      <w:r w:rsidRPr="00C760EA">
        <w:rPr>
          <w:color w:val="000000"/>
        </w:rPr>
        <w:t xml:space="preserve">CDs may be issued to all </w:t>
      </w:r>
      <w:proofErr w:type="gramStart"/>
      <w:r w:rsidRPr="00C760EA">
        <w:rPr>
          <w:color w:val="000000"/>
        </w:rPr>
        <w:t>persons</w:t>
      </w:r>
      <w:proofErr w:type="gramEnd"/>
      <w:r w:rsidRPr="00C760EA">
        <w:rPr>
          <w:color w:val="000000"/>
        </w:rPr>
        <w:t xml:space="preserve"> resident in India.</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5. General guidelines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(a) Primary issuance</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 xml:space="preserve">CDs shall be issued in minimum denomination of ₹5 </w:t>
      </w:r>
      <w:proofErr w:type="gramStart"/>
      <w:r w:rsidRPr="00C760EA">
        <w:rPr>
          <w:color w:val="000000"/>
        </w:rPr>
        <w:t>lakh</w:t>
      </w:r>
      <w:proofErr w:type="gramEnd"/>
      <w:r w:rsidRPr="00C760EA">
        <w:rPr>
          <w:color w:val="000000"/>
        </w:rPr>
        <w:t xml:space="preserve"> and in multiples of ₹5 lakh thereafter.</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(b) Discount/coupon rate</w:t>
      </w:r>
    </w:p>
    <w:p w:rsidR="002E2BDE" w:rsidRPr="00C760EA" w:rsidRDefault="002E2BDE" w:rsidP="002E2BDE">
      <w:pPr>
        <w:pStyle w:val="NormalWeb"/>
        <w:spacing w:before="0" w:beforeAutospacing="0" w:after="0" w:afterAutospacing="0"/>
        <w:jc w:val="both"/>
        <w:rPr>
          <w:color w:val="000000"/>
        </w:rPr>
      </w:pPr>
      <w:r w:rsidRPr="00C760EA">
        <w:rPr>
          <w:color w:val="000000"/>
        </w:rPr>
        <w:lastRenderedPageBreak/>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(c) Secondary market - trading venues and settlement</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The settlement cycle for OTC trades in CDs shall be T+0 or T+1.</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 xml:space="preserve">All secondary market transactions in CDs shall be settled on a </w:t>
      </w:r>
      <w:proofErr w:type="spellStart"/>
      <w:r w:rsidRPr="00C760EA">
        <w:rPr>
          <w:color w:val="000000"/>
        </w:rPr>
        <w:t>DvP</w:t>
      </w:r>
      <w:proofErr w:type="spellEnd"/>
      <w:r w:rsidRPr="00C760EA">
        <w:rPr>
          <w:color w:val="000000"/>
        </w:rPr>
        <w:t xml:space="preserve"> basis through the clearing corporation of any recognized stock exchange or any other mechanism approved by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(d) Loans against CDs</w:t>
      </w:r>
    </w:p>
    <w:p w:rsidR="002E2BDE" w:rsidRPr="00C760EA" w:rsidRDefault="002E2BDE" w:rsidP="002E2BDE">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(e) Buyback of CDs</w:t>
      </w:r>
    </w:p>
    <w:p w:rsidR="002E2BDE" w:rsidRPr="00C760EA" w:rsidRDefault="002E2BDE" w:rsidP="002E2BDE">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Buyback of CDs can be made only 7 days after the date of issue of the CD;</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Buyback of CDs shall be at the prevailing market price; and</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CDs bought back, partially or in full, shall be extinguished.</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(f) Market timings</w:t>
      </w:r>
    </w:p>
    <w:p w:rsidR="002E2BDE" w:rsidRPr="00C760EA" w:rsidRDefault="002E2BDE" w:rsidP="002E2BDE">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(g) Repayment of CD</w:t>
      </w:r>
    </w:p>
    <w:p w:rsidR="002E2BDE" w:rsidRPr="00C760EA" w:rsidRDefault="002E2BDE" w:rsidP="002E2BDE">
      <w:pPr>
        <w:pStyle w:val="NormalWeb"/>
        <w:spacing w:before="0" w:beforeAutospacing="0" w:after="0" w:afterAutospacing="0"/>
        <w:jc w:val="both"/>
        <w:rPr>
          <w:color w:val="000000"/>
        </w:rPr>
      </w:pPr>
      <w:r w:rsidRPr="00C760EA">
        <w:rPr>
          <w:color w:val="000000"/>
        </w:rPr>
        <w:t>There will be no grace period for repayment of CDs.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(h) Market practices and documentation</w:t>
      </w:r>
    </w:p>
    <w:p w:rsidR="002E2BDE" w:rsidRPr="00C760EA" w:rsidRDefault="002E2BDE" w:rsidP="002E2BDE">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(i) Reserve requirements</w:t>
      </w:r>
    </w:p>
    <w:p w:rsidR="002E2BDE" w:rsidRPr="00C760EA" w:rsidRDefault="002E2BDE" w:rsidP="002E2BDE">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(j) Accounting</w:t>
      </w:r>
    </w:p>
    <w:p w:rsidR="002E2BDE" w:rsidRPr="00C760EA" w:rsidRDefault="002E2BDE" w:rsidP="002E2BDE">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6. Reporting requirements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(a) Primary issuance</w:t>
      </w:r>
    </w:p>
    <w:p w:rsidR="002E2BDE" w:rsidRPr="00C760EA" w:rsidRDefault="002E2BDE" w:rsidP="002E2BDE">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(b) Secondary market transactions</w:t>
      </w:r>
    </w:p>
    <w:p w:rsidR="002E2BDE" w:rsidRPr="00C760EA" w:rsidRDefault="002E2BDE" w:rsidP="002E2BDE">
      <w:pPr>
        <w:pStyle w:val="NormalWeb"/>
        <w:spacing w:before="0" w:beforeAutospacing="0" w:after="0" w:afterAutospacing="0"/>
        <w:jc w:val="both"/>
        <w:rPr>
          <w:color w:val="000000"/>
        </w:rPr>
      </w:pPr>
      <w:r w:rsidRPr="00C760EA">
        <w:rPr>
          <w:color w:val="000000"/>
        </w:rPr>
        <w:lastRenderedPageBreak/>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(c) Buyback transactions</w:t>
      </w:r>
    </w:p>
    <w:p w:rsidR="002E2BDE" w:rsidRPr="00C760EA" w:rsidRDefault="002E2BDE" w:rsidP="002E2BDE">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(d) Reporting by depositories</w:t>
      </w:r>
    </w:p>
    <w:p w:rsidR="002E2BDE" w:rsidRPr="00C760EA" w:rsidRDefault="002E2BDE" w:rsidP="002E2BDE">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33"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2E2BDE" w:rsidRPr="00C760EA" w:rsidRDefault="002E2BDE" w:rsidP="002E2BDE">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8. Dissemination of data</w:t>
      </w:r>
    </w:p>
    <w:p w:rsidR="002E2BDE" w:rsidRPr="00C760EA" w:rsidRDefault="002E2BDE" w:rsidP="002E2BDE">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9. Violation of Directions</w:t>
      </w:r>
    </w:p>
    <w:p w:rsidR="002E2BDE" w:rsidRPr="00C760EA" w:rsidRDefault="002E2BDE" w:rsidP="002E2BDE">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2E2BDE" w:rsidRPr="00C760EA" w:rsidRDefault="002E2BDE" w:rsidP="002E2BDE">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2E2BDE" w:rsidRDefault="002E2BDE" w:rsidP="002E2BDE">
      <w:pPr>
        <w:shd w:val="clear" w:color="auto" w:fill="FFFFFF"/>
        <w:spacing w:after="0" w:line="240" w:lineRule="auto"/>
        <w:jc w:val="both"/>
        <w:rPr>
          <w:rStyle w:val="head1"/>
          <w:rFonts w:ascii="Times New Roman" w:hAnsi="Times New Roman" w:cs="Times New Roman"/>
          <w:b/>
          <w:bCs/>
          <w:color w:val="000000"/>
          <w:sz w:val="24"/>
          <w:szCs w:val="24"/>
        </w:rPr>
      </w:pPr>
    </w:p>
    <w:p w:rsidR="002E2BDE" w:rsidRDefault="002E2BDE" w:rsidP="002E2BDE">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proofErr w:type="spellStart"/>
      <w:r>
        <w:fldChar w:fldCharType="begin"/>
      </w:r>
      <w:r>
        <w:instrText xml:space="preserve"> HYPERLINK "https://www.rbi.org.in/Scripts/BS_ViewMasDirections.aspx?id=10495" \t "_blank" </w:instrText>
      </w:r>
      <w:r>
        <w:fldChar w:fldCharType="separate"/>
      </w:r>
      <w:r w:rsidRPr="00C760EA">
        <w:rPr>
          <w:rStyle w:val="Hyperlink"/>
          <w:rFonts w:ascii="Times New Roman" w:hAnsi="Times New Roman" w:cs="Times New Roman"/>
          <w:sz w:val="24"/>
          <w:szCs w:val="24"/>
        </w:rPr>
        <w:t>FMRD.Master</w:t>
      </w:r>
      <w:proofErr w:type="spellEnd"/>
      <w:r w:rsidRPr="00C760EA">
        <w:rPr>
          <w:rStyle w:val="Hyperlink"/>
          <w:rFonts w:ascii="Times New Roman" w:hAnsi="Times New Roman" w:cs="Times New Roman"/>
          <w:sz w:val="24"/>
          <w:szCs w:val="24"/>
        </w:rPr>
        <w:t xml:space="preserve"> Direction No. 2/2016-17 dated July 07, 2016</w:t>
      </w:r>
      <w:r>
        <w:rPr>
          <w:rStyle w:val="Hyperlink"/>
          <w:rFonts w:ascii="Times New Roman" w:hAnsi="Times New Roman" w:cs="Times New Roman"/>
          <w:sz w:val="24"/>
          <w:szCs w:val="24"/>
        </w:rPr>
        <w:fldChar w:fldCharType="end"/>
      </w:r>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2E2BDE" w:rsidRPr="00C760EA" w:rsidRDefault="002E2BDE" w:rsidP="002E2BDE">
      <w:pPr>
        <w:shd w:val="clear" w:color="auto" w:fill="FFFFFF"/>
        <w:spacing w:after="0" w:line="240" w:lineRule="auto"/>
        <w:jc w:val="both"/>
        <w:rPr>
          <w:rFonts w:ascii="Times New Roman" w:hAnsi="Times New Roman" w:cs="Times New Roman"/>
          <w:color w:val="000000"/>
          <w:sz w:val="24"/>
          <w:szCs w:val="24"/>
        </w:rPr>
      </w:pPr>
    </w:p>
    <w:p w:rsidR="002E2BDE" w:rsidRPr="00C760EA" w:rsidRDefault="00736AAC" w:rsidP="002E2BDE">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34" w:history="1">
        <w:r w:rsidR="002E2BDE" w:rsidRPr="00C760EA">
          <w:rPr>
            <w:rStyle w:val="Hyperlink"/>
            <w:rFonts w:ascii="Times New Roman" w:hAnsi="Times New Roman" w:cs="Times New Roman"/>
            <w:sz w:val="24"/>
            <w:szCs w:val="24"/>
          </w:rPr>
          <w:t>https://www.rbi.org.in/Scripts/NotificationUser.aspx?Id=12108&amp;Mode=0</w:t>
        </w:r>
      </w:hyperlink>
    </w:p>
    <w:p w:rsidR="002E2BDE" w:rsidRDefault="002E2BDE"/>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Payment of margins for transactions in Government Securities by Foreign Portfolio Investors</w:t>
      </w:r>
    </w:p>
    <w:p w:rsidR="002E2BDE" w:rsidRPr="00C760EA" w:rsidRDefault="002E2BDE" w:rsidP="002E2BDE">
      <w:pPr>
        <w:pStyle w:val="NormalWeb"/>
        <w:shd w:val="clear" w:color="auto" w:fill="FFFFFF"/>
        <w:spacing w:before="0" w:beforeAutospacing="0" w:after="0" w:afterAutospacing="0"/>
        <w:jc w:val="both"/>
        <w:rPr>
          <w:b/>
          <w:bCs/>
          <w:color w:val="000000"/>
        </w:rPr>
      </w:pPr>
    </w:p>
    <w:p w:rsidR="002E2BDE" w:rsidRPr="00762028" w:rsidRDefault="002E2BDE" w:rsidP="002E2BDE">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2E2BDE" w:rsidRPr="00762028" w:rsidRDefault="002E2BDE" w:rsidP="002E2BDE">
      <w:pPr>
        <w:pStyle w:val="NormalWeb"/>
        <w:shd w:val="clear" w:color="auto" w:fill="FFFFFF"/>
        <w:spacing w:before="0" w:beforeAutospacing="0" w:after="0" w:afterAutospacing="0"/>
        <w:jc w:val="both"/>
        <w:rPr>
          <w:i/>
          <w:color w:val="000000"/>
        </w:rPr>
      </w:pPr>
      <w:r w:rsidRPr="00C760EA">
        <w:rPr>
          <w:color w:val="000000"/>
        </w:rPr>
        <w:lastRenderedPageBreak/>
        <w:br/>
      </w:r>
      <w:r w:rsidRPr="00762028">
        <w:rPr>
          <w:i/>
          <w:color w:val="000000"/>
        </w:rPr>
        <w:t>All Authorised Persons</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35" w:tgtFrame="_blank" w:history="1">
        <w:r w:rsidRPr="00C760EA">
          <w:rPr>
            <w:rStyle w:val="Hyperlink"/>
          </w:rPr>
          <w:t>Statement on Developmental and Regulatory Policies</w:t>
        </w:r>
      </w:hyperlink>
      <w:r w:rsidRPr="00C760EA">
        <w:rPr>
          <w:color w:val="000000"/>
        </w:rPr>
        <w:t>, issued as a part of the </w:t>
      </w:r>
      <w:hyperlink r:id="rId36"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37"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38" w:tgtFrame="_blank" w:history="1">
        <w:r w:rsidRPr="00C760EA">
          <w:rPr>
            <w:rStyle w:val="Hyperlink"/>
          </w:rPr>
          <w:t>Notification No. FEMA 3(R)2/2021-RB dated May 24, 2021</w:t>
        </w:r>
      </w:hyperlink>
      <w:r w:rsidRPr="00C760EA">
        <w:rPr>
          <w:color w:val="000000"/>
        </w:rPr>
        <w:t>.</w:t>
      </w: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2E2BDE" w:rsidRPr="00C760EA" w:rsidRDefault="002E2BDE" w:rsidP="002E2BD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2E2BDE" w:rsidRDefault="002E2BDE"/>
    <w:p w:rsidR="002E2BDE" w:rsidRDefault="002E2BDE"/>
    <w:p w:rsidR="002E2BDE" w:rsidRPr="00F74A17" w:rsidRDefault="002E2BDE" w:rsidP="002E2BDE">
      <w:pPr>
        <w:pStyle w:val="head"/>
        <w:shd w:val="clear" w:color="auto" w:fill="FFFFFF"/>
        <w:jc w:val="both"/>
        <w:rPr>
          <w:b/>
          <w:bCs/>
          <w:color w:val="000000"/>
          <w:sz w:val="22"/>
          <w:szCs w:val="20"/>
        </w:rPr>
      </w:pPr>
      <w:r w:rsidRPr="00F74A17">
        <w:rPr>
          <w:b/>
          <w:bCs/>
          <w:color w:val="000000"/>
          <w:sz w:val="22"/>
          <w:szCs w:val="20"/>
        </w:rPr>
        <w:t>Investment by Foreign Portfolio Investors (FPI) in Government Securities: Medium Term Framework (MTF)</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Attention of Authorised Dealer Category-I (AD Category-I) banks is invited to Schedule 1 to the Foreign Exchange Management (Debt Instruments) Regulations, 2019 notified, vide </w:t>
      </w:r>
      <w:hyperlink r:id="rId39" w:tgtFrame="_blank" w:history="1">
        <w:r w:rsidRPr="00F74A17">
          <w:rPr>
            <w:rStyle w:val="Hyperlink"/>
            <w:sz w:val="22"/>
            <w:szCs w:val="20"/>
          </w:rPr>
          <w:t>Notification No. FEMA. 396/2019-RB dated October 17, 2019</w:t>
        </w:r>
      </w:hyperlink>
      <w:r w:rsidRPr="00F74A17">
        <w:rPr>
          <w:color w:val="000000"/>
          <w:sz w:val="22"/>
          <w:szCs w:val="20"/>
        </w:rPr>
        <w:t>, as amended from time to time and the relevant directions issued thereunder.</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2. A reference is also invited to the following directions issued by the Reserve Bank:</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a) </w:t>
      </w:r>
      <w:hyperlink r:id="rId40" w:tgtFrame="_blank" w:history="1">
        <w:r w:rsidRPr="00F74A17">
          <w:rPr>
            <w:rStyle w:val="Hyperlink"/>
            <w:sz w:val="22"/>
            <w:szCs w:val="20"/>
          </w:rPr>
          <w:t>A.P. (DIR Series) Circular No. 25 dated March 30, 2020</w:t>
        </w:r>
      </w:hyperlink>
      <w:r w:rsidRPr="00F74A17">
        <w:rPr>
          <w:color w:val="000000"/>
          <w:sz w:val="22"/>
          <w:szCs w:val="20"/>
        </w:rPr>
        <w:t>;</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b) </w:t>
      </w:r>
      <w:hyperlink r:id="rId41" w:tgtFrame="_blank" w:history="1">
        <w:r w:rsidRPr="00F74A17">
          <w:rPr>
            <w:rStyle w:val="Hyperlink"/>
            <w:sz w:val="22"/>
            <w:szCs w:val="20"/>
          </w:rPr>
          <w:t>Circular No. FMRD.FMSD.No.25/14.01.006/2019-20 dated March 30, 2020</w:t>
        </w:r>
      </w:hyperlink>
      <w:r w:rsidRPr="00F74A17">
        <w:rPr>
          <w:color w:val="000000"/>
          <w:sz w:val="22"/>
          <w:szCs w:val="20"/>
        </w:rPr>
        <w:t>;</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c) </w:t>
      </w:r>
      <w:hyperlink r:id="rId42" w:tgtFrame="_blank" w:history="1">
        <w:r w:rsidRPr="00F74A17">
          <w:rPr>
            <w:rStyle w:val="Hyperlink"/>
            <w:sz w:val="22"/>
            <w:szCs w:val="20"/>
          </w:rPr>
          <w:t>A.P. (DIR Series) Circular No. 30 dated April 15, 2020</w:t>
        </w:r>
      </w:hyperlink>
      <w:r w:rsidRPr="00F74A17">
        <w:rPr>
          <w:color w:val="000000"/>
          <w:sz w:val="22"/>
          <w:szCs w:val="20"/>
        </w:rPr>
        <w:t>; and</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d) </w:t>
      </w:r>
      <w:hyperlink r:id="rId43" w:tgtFrame="_blank" w:history="1">
        <w:r w:rsidRPr="00F74A17">
          <w:rPr>
            <w:rStyle w:val="Hyperlink"/>
            <w:sz w:val="22"/>
            <w:szCs w:val="20"/>
          </w:rPr>
          <w:t>A.P. (DIR Series) Circular No. 14 dated March 31, 2021</w:t>
        </w:r>
      </w:hyperlink>
      <w:r w:rsidRPr="00F74A17">
        <w:rPr>
          <w:color w:val="000000"/>
          <w:sz w:val="22"/>
          <w:szCs w:val="20"/>
        </w:rPr>
        <w:t>.</w:t>
      </w:r>
    </w:p>
    <w:p w:rsidR="002E2BDE" w:rsidRPr="00F74A17" w:rsidRDefault="002E2BDE" w:rsidP="002E2BDE">
      <w:pPr>
        <w:pStyle w:val="head"/>
        <w:shd w:val="clear" w:color="auto" w:fill="FFFFFF"/>
        <w:jc w:val="both"/>
        <w:rPr>
          <w:b/>
          <w:bCs/>
          <w:color w:val="000000"/>
          <w:sz w:val="22"/>
          <w:szCs w:val="20"/>
        </w:rPr>
      </w:pPr>
      <w:r w:rsidRPr="00F74A17">
        <w:rPr>
          <w:b/>
          <w:bCs/>
          <w:color w:val="000000"/>
          <w:sz w:val="22"/>
          <w:szCs w:val="20"/>
        </w:rPr>
        <w:t>3. Investment Limits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limits for FPI investment in Government securities (G-secs) and State Development Loans (SDLs) shall remain unchanged at 6% and 2% respectively, of outstanding stocks of securities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lastRenderedPageBreak/>
        <w:t>As hitherto, all investments by eligible investors in the ‘specified securities’ shall be reckoned under the Fully Accessible Route (FAR) in terms of </w:t>
      </w:r>
      <w:hyperlink r:id="rId44" w:tgtFrame="_blank" w:history="1">
        <w:r w:rsidRPr="00F74A17">
          <w:rPr>
            <w:rStyle w:val="Hyperlink"/>
            <w:sz w:val="22"/>
            <w:szCs w:val="20"/>
          </w:rPr>
          <w:t>A.P. (DIR Series) Circular No. 25 dated March 30, 2020</w:t>
        </w:r>
      </w:hyperlink>
      <w:r w:rsidRPr="00F74A17">
        <w:rPr>
          <w:color w:val="000000"/>
          <w:sz w:val="22"/>
          <w:szCs w:val="20"/>
        </w:rPr>
        <w:t>.</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allocation of incremental changes in the G-sec limit (in absolute terms) over the two sub-categories – ‘General’ and ‘Long-term’ – shall be retained at 50:50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entire increase in limits for SDLs (in absolute terms) has been added to the ‘General’ sub-category of SDLs.</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4. Accordingly, the revised limits (in absolute terms) for the different categories, including the limits for corporate bonds announced, vide </w:t>
      </w:r>
      <w:hyperlink r:id="rId45" w:tgtFrame="_blank" w:history="1">
        <w:r w:rsidRPr="00F74A17">
          <w:rPr>
            <w:rStyle w:val="Hyperlink"/>
            <w:sz w:val="22"/>
            <w:szCs w:val="20"/>
          </w:rPr>
          <w:t>A.P. (DIR Series) Circular No. 14 dated March 31, 2021</w:t>
        </w:r>
      </w:hyperlink>
      <w:r w:rsidRPr="00F74A17">
        <w:rPr>
          <w:color w:val="000000"/>
          <w:sz w:val="22"/>
          <w:szCs w:val="20"/>
        </w:rPr>
        <w:t>, shall be as under (Table 1):</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38"/>
        <w:gridCol w:w="860"/>
        <w:gridCol w:w="860"/>
        <w:gridCol w:w="848"/>
        <w:gridCol w:w="616"/>
        <w:gridCol w:w="1068"/>
        <w:gridCol w:w="970"/>
      </w:tblGrid>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Table - 1: Investment limits for FY 2021-22</w:t>
            </w:r>
          </w:p>
        </w:tc>
      </w:tr>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all figures in ₹ Crore</w:t>
            </w:r>
          </w:p>
        </w:tc>
      </w:tr>
      <w:tr w:rsidR="002E2BDE" w:rsidRPr="00F74A17" w:rsidTr="002E2BDE">
        <w:trPr>
          <w:jc w:val="center"/>
        </w:trPr>
        <w:tc>
          <w:tcPr>
            <w:tcW w:w="2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 </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G-Sec General</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G-Sec Long Term</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SDL General</w:t>
            </w:r>
          </w:p>
        </w:tc>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SDL Long Term</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Corporate Bonds</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Total Debt</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Current FPI limits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2,34,531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1,03,531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67,630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5,41,488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9,54,280</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Revised limit for the HY Apr 2021-Sept 2021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2,43,914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1,12,914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76,766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5,74,263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10,14,957</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Revised limit for the HY Oct 2021-Mar 2022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2,53,298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1,22,298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85,902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6,07,039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10,75,637</w:t>
            </w:r>
          </w:p>
        </w:tc>
      </w:tr>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both"/>
              <w:rPr>
                <w:rFonts w:ascii="Times New Roman" w:hAnsi="Times New Roman" w:cs="Times New Roman"/>
                <w:color w:val="000000"/>
                <w:szCs w:val="20"/>
              </w:rPr>
            </w:pPr>
            <w:r w:rsidRPr="00F74A17">
              <w:rPr>
                <w:rFonts w:ascii="Times New Roman" w:hAnsi="Times New Roman" w:cs="Times New Roman"/>
                <w:color w:val="000000"/>
                <w:szCs w:val="20"/>
              </w:rPr>
              <w:t>^ as on March 31, 2021</w:t>
            </w:r>
          </w:p>
        </w:tc>
      </w:tr>
    </w:tbl>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 xml:space="preserve">5. AD Category – I </w:t>
      </w:r>
      <w:proofErr w:type="gramStart"/>
      <w:r w:rsidRPr="00F74A17">
        <w:rPr>
          <w:color w:val="000000"/>
          <w:sz w:val="22"/>
          <w:szCs w:val="20"/>
        </w:rPr>
        <w:t>banks</w:t>
      </w:r>
      <w:proofErr w:type="gramEnd"/>
      <w:r w:rsidRPr="00F74A17">
        <w:rPr>
          <w:color w:val="000000"/>
          <w:sz w:val="22"/>
          <w:szCs w:val="20"/>
        </w:rPr>
        <w:t xml:space="preserve"> may bring the contents of this circular to the notice of their constituents and customers concerned.</w:t>
      </w:r>
    </w:p>
    <w:p w:rsidR="002E2BDE" w:rsidRDefault="002E2BDE" w:rsidP="002E2BDE">
      <w:pPr>
        <w:pStyle w:val="NormalWeb"/>
        <w:shd w:val="clear" w:color="auto" w:fill="FFFFFF"/>
        <w:jc w:val="both"/>
        <w:rPr>
          <w:color w:val="000000"/>
          <w:sz w:val="22"/>
          <w:szCs w:val="20"/>
        </w:rPr>
      </w:pPr>
      <w:r w:rsidRPr="00F74A17">
        <w:rPr>
          <w:color w:val="000000"/>
          <w:sz w:val="22"/>
          <w:szCs w:val="20"/>
        </w:rPr>
        <w:t>6. The directions contained in this circular have been issued under sections 10(4) and 11(1) of the Foreign Exchange Management Act, 1999 (42 of 1999) and are without prejudice to permissions/approval, if any, required under any other law.</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Sponsor Contribution to an AIF set up in Overseas Jurisdiction, including IFSCs</w:t>
      </w:r>
    </w:p>
    <w:p w:rsidR="00F74A17" w:rsidRDefault="00F74A17" w:rsidP="00F74A17">
      <w:pPr>
        <w:pStyle w:val="NormalWeb"/>
        <w:shd w:val="clear" w:color="auto" w:fill="FFFFFF"/>
        <w:spacing w:before="0" w:beforeAutospacing="0" w:after="0" w:afterAutospacing="0"/>
        <w:jc w:val="both"/>
        <w:rPr>
          <w:b/>
          <w:color w:val="000000"/>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proofErr w:type="gramStart"/>
      <w:r w:rsidRPr="00BE0E8C">
        <w:rPr>
          <w:b/>
          <w:color w:val="000000"/>
        </w:rPr>
        <w:t>A.P.(</w:t>
      </w:r>
      <w:proofErr w:type="gramEnd"/>
      <w:r w:rsidRPr="00BE0E8C">
        <w:rPr>
          <w:b/>
          <w:color w:val="000000"/>
        </w:rPr>
        <w:t>DIR Series) Circular No. 04</w:t>
      </w:r>
      <w:r>
        <w:rPr>
          <w:b/>
          <w:color w:val="000000"/>
        </w:rPr>
        <w:t xml:space="preserve"> </w:t>
      </w:r>
      <w:r>
        <w:rPr>
          <w:b/>
          <w:color w:val="000000"/>
        </w:rPr>
        <w:tab/>
      </w:r>
      <w:r>
        <w:rPr>
          <w:b/>
          <w:color w:val="000000"/>
        </w:rPr>
        <w:tab/>
      </w:r>
      <w:r w:rsidRPr="00BE0E8C">
        <w:rPr>
          <w:b/>
          <w:color w:val="000000"/>
        </w:rPr>
        <w:t>May 12, 2021</w:t>
      </w:r>
    </w:p>
    <w:p w:rsidR="00F74A17"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F74A17" w:rsidRPr="00BE0E8C" w:rsidRDefault="00F74A17" w:rsidP="00F74A17">
      <w:pPr>
        <w:pStyle w:val="NormalWeb"/>
        <w:shd w:val="clear" w:color="auto" w:fill="FFFFFF"/>
        <w:spacing w:before="0" w:beforeAutospacing="0" w:after="0" w:afterAutospacing="0"/>
        <w:jc w:val="both"/>
        <w:rPr>
          <w:i/>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46"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47"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2. It has been decided that any sponsor contribution from a sponsor IP to an Alternative Investment Fund (AIF) set up in an overseas jurisdiction, including International Financial Services Centres (IFSCs) in India, as per the laws of the host jurisdiction, will be treated as </w:t>
      </w:r>
      <w:r w:rsidRPr="00BE0E8C">
        <w:rPr>
          <w:color w:val="000000"/>
        </w:rPr>
        <w:lastRenderedPageBreak/>
        <w:t>Overseas Direct Investment (ODI). Accordingly, IP, as defined in regulation 2(k) of the Notification ibid. can set up AIF in overseas jurisdictions, including IFSCs, under the automatic route provided it complies with Regulation 7 of the </w:t>
      </w:r>
      <w:hyperlink r:id="rId48" w:tgtFrame="_blank" w:history="1">
        <w:r w:rsidRPr="00BE0E8C">
          <w:rPr>
            <w:rStyle w:val="Hyperlink"/>
          </w:rPr>
          <w:t>Notification FEMA 120/2004-RB</w:t>
        </w:r>
      </w:hyperlink>
      <w:r w:rsidRPr="00BE0E8C">
        <w:rPr>
          <w:color w:val="000000"/>
        </w:rPr>
        <w:t>.</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3. All the other provisions under the Notification ibid. shall remain unchanged.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w:t>
      </w:r>
      <w:hyperlink r:id="rId49" w:tgtFrame="_blank" w:history="1">
        <w:r w:rsidRPr="00BE0E8C">
          <w:rPr>
            <w:rStyle w:val="Hyperlink"/>
          </w:rPr>
          <w:t>Master Direction No. 15 dated January 01, 2016</w:t>
        </w:r>
      </w:hyperlink>
      <w:r w:rsidRPr="00BE0E8C">
        <w:rPr>
          <w:color w:val="000000"/>
        </w:rPr>
        <w:t>, is being updated to reflect the changes.</w:t>
      </w:r>
    </w:p>
    <w:p w:rsidR="00F74A17" w:rsidRDefault="00F74A17" w:rsidP="00F74A17">
      <w:pPr>
        <w:pStyle w:val="NormalWeb"/>
        <w:pBdr>
          <w:bottom w:val="single" w:sz="12" w:space="1" w:color="auto"/>
        </w:pBdr>
        <w:shd w:val="clear" w:color="auto" w:fill="FFFFFF"/>
        <w:spacing w:before="0" w:beforeAutospacing="0" w:after="0" w:afterAutospacing="0"/>
        <w:jc w:val="both"/>
        <w:rPr>
          <w:color w:val="000000"/>
        </w:rPr>
      </w:pPr>
    </w:p>
    <w:p w:rsidR="00F74A17" w:rsidRDefault="00F74A17" w:rsidP="00F74A1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Utilisation of Floating Provisions/Counter Cyclical Provisioning Buffer</w:t>
      </w:r>
    </w:p>
    <w:p w:rsidR="00F74A17" w:rsidRPr="00BE0E8C" w:rsidRDefault="00F74A17" w:rsidP="00F74A17">
      <w:pPr>
        <w:pStyle w:val="NormalWeb"/>
        <w:shd w:val="clear" w:color="auto" w:fill="FFFFFF"/>
        <w:spacing w:before="0" w:beforeAutospacing="0" w:after="0" w:afterAutospacing="0"/>
        <w:jc w:val="both"/>
        <w:rPr>
          <w:b/>
          <w:bCs/>
          <w:color w:val="000000"/>
        </w:rPr>
      </w:pP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F74A17" w:rsidRPr="00BE0E8C" w:rsidRDefault="00F74A17" w:rsidP="00F74A17">
      <w:pPr>
        <w:spacing w:after="0" w:line="240" w:lineRule="auto"/>
        <w:jc w:val="both"/>
        <w:rPr>
          <w:rFonts w:ascii="Times New Roman" w:hAnsi="Times New Roman" w:cs="Times New Roman"/>
          <w:i/>
          <w:color w:val="000000"/>
          <w:sz w:val="24"/>
          <w:szCs w:val="24"/>
          <w:u w:val="single"/>
          <w:shd w:val="clear" w:color="auto" w:fill="FFFFFF"/>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50" w:tgtFrame="_blank" w:history="1">
        <w:r w:rsidRPr="00BE0E8C">
          <w:rPr>
            <w:rStyle w:val="Hyperlink"/>
          </w:rPr>
          <w:t>circular DBOD.No.BP.BC.89/21.04.048/2005-06 dated June 22, 2006</w:t>
        </w:r>
      </w:hyperlink>
      <w:r w:rsidRPr="00BE0E8C">
        <w:rPr>
          <w:color w:val="000000"/>
        </w:rPr>
        <w:t> and </w:t>
      </w:r>
      <w:hyperlink r:id="rId51"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52" w:tgtFrame="_blank" w:history="1">
        <w:r w:rsidRPr="00BE0E8C">
          <w:rPr>
            <w:rStyle w:val="Hyperlink"/>
          </w:rPr>
          <w:t>circular DBOD.No.BP.BC.87/21.04.048/2010-11 dated April 21, 2011</w:t>
        </w:r>
      </w:hyperlink>
      <w:r w:rsidRPr="00BE0E8C">
        <w:rPr>
          <w:color w:val="000000"/>
        </w:rPr>
        <w:t> on creation and utilisation of ‘countercyclical provisioning buffer’, wherein we had advised that the buffer will be allowed to be used by banks for making specific provisions for non-performing assets, inter alia, during periods of system wide downturn, with the prior approval of RBI.</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53" w:tgtFrame="_blank" w:history="1">
        <w:r w:rsidRPr="00BE0E8C">
          <w:rPr>
            <w:rStyle w:val="Hyperlink"/>
          </w:rPr>
          <w:t>DBOD.No.BP.95/21.04.048/2013-14 dated February 7, 2014</w:t>
        </w:r>
      </w:hyperlink>
      <w:r w:rsidRPr="00BE0E8C">
        <w:rPr>
          <w:color w:val="000000"/>
        </w:rPr>
        <w:t> and </w:t>
      </w:r>
      <w:hyperlink r:id="rId54" w:tgtFrame="_blank" w:history="1">
        <w:r w:rsidRPr="00BE0E8C">
          <w:rPr>
            <w:rStyle w:val="Hyperlink"/>
          </w:rPr>
          <w:t>DBR.No.BP.BC.79/21.04.048/2014-15 dated March 30, 2015</w:t>
        </w:r>
      </w:hyperlink>
      <w:r w:rsidRPr="00BE0E8C">
        <w:rPr>
          <w:color w:val="000000"/>
        </w:rPr>
        <w:t xml:space="preserve">, banks were allowed to utilise </w:t>
      </w:r>
      <w:proofErr w:type="spellStart"/>
      <w:r w:rsidRPr="00BE0E8C">
        <w:rPr>
          <w:color w:val="000000"/>
        </w:rPr>
        <w:t>upto</w:t>
      </w:r>
      <w:proofErr w:type="spellEnd"/>
      <w:r w:rsidRPr="00BE0E8C">
        <w:rPr>
          <w:color w:val="000000"/>
        </w:rPr>
        <w:t xml:space="preserve"> 33 per cent and 50 per cent of floating provisions/ countercyclical provisioning buffer held by them as on March 31, 2013 and December 31, 2014 respectively, for making specific provisions for non-performing assets, as per their Board approved policy.</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3. In order to mitigate the adverse impact of COVID 19 related stress on banks, as a measure to enable capital conservation, it has been decided to allow banks to utilise 100 per cent of floating provisions/ countercyclical provisioning buffer held by them as on December 31, 2020 for making specific provisions for non-performing assets with prior approval of their Boards. Such utilisation is permitted with immediate effect and </w:t>
      </w:r>
      <w:proofErr w:type="spellStart"/>
      <w:r w:rsidRPr="00BE0E8C">
        <w:rPr>
          <w:color w:val="000000"/>
        </w:rPr>
        <w:t>upto</w:t>
      </w:r>
      <w:proofErr w:type="spellEnd"/>
      <w:r w:rsidRPr="00BE0E8C">
        <w:rPr>
          <w:color w:val="000000"/>
        </w:rPr>
        <w:t xml:space="preserve"> March 31, 2022.</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Please refer to paragraph 12 of the Governor’s Statement on Developmental and Regulatory Policies dated April 07, 2021. In this connection, attention of Authorized Dealer Category-I </w:t>
      </w:r>
      <w:r w:rsidRPr="00BE0E8C">
        <w:rPr>
          <w:rFonts w:ascii="Times New Roman" w:hAnsi="Times New Roman" w:cs="Times New Roman"/>
          <w:color w:val="000000"/>
          <w:sz w:val="24"/>
          <w:szCs w:val="24"/>
        </w:rPr>
        <w:lastRenderedPageBreak/>
        <w:t>(AD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F74A17" w:rsidRDefault="00F74A17" w:rsidP="00F74A17">
      <w:pPr>
        <w:pStyle w:val="NormalWeb"/>
        <w:pBdr>
          <w:bottom w:val="single" w:sz="12" w:space="1" w:color="auto"/>
        </w:pBdr>
        <w:shd w:val="clear" w:color="auto" w:fill="FFFFFF"/>
        <w:spacing w:before="0" w:beforeAutospacing="0" w:after="0" w:afterAutospacing="0"/>
        <w:jc w:val="both"/>
      </w:pPr>
    </w:p>
    <w:p w:rsidR="00F74A17" w:rsidRPr="00BE0E8C" w:rsidRDefault="00736AAC" w:rsidP="00F74A17">
      <w:pPr>
        <w:pStyle w:val="NormalWeb"/>
        <w:pBdr>
          <w:bottom w:val="single" w:sz="12" w:space="1" w:color="auto"/>
        </w:pBdr>
        <w:shd w:val="clear" w:color="auto" w:fill="FFFFFF"/>
        <w:spacing w:before="0" w:beforeAutospacing="0" w:after="0" w:afterAutospacing="0"/>
        <w:jc w:val="both"/>
        <w:rPr>
          <w:color w:val="000000"/>
        </w:rPr>
      </w:pPr>
      <w:hyperlink r:id="rId55" w:history="1">
        <w:r w:rsidR="00F74A17" w:rsidRPr="00BE0E8C">
          <w:rPr>
            <w:rStyle w:val="Hyperlink"/>
          </w:rPr>
          <w:t>https://www.rbi.org.in/Scripts/NotificationUser.aspx?Id=12070&amp;Mode=0</w:t>
        </w:r>
      </w:hyperlink>
    </w:p>
    <w:p w:rsidR="00F74A17" w:rsidRDefault="00F74A17" w:rsidP="002E2BDE">
      <w:pPr>
        <w:pStyle w:val="NormalWeb"/>
        <w:shd w:val="clear" w:color="auto" w:fill="FFFFFF"/>
        <w:jc w:val="both"/>
        <w:rPr>
          <w:color w:val="000000"/>
          <w:sz w:val="22"/>
          <w:szCs w:val="2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Investment by Foreign Portfolio Investors (FPI): Investment limits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56" w:tgtFrame="_blank" w:history="1">
        <w:r w:rsidRPr="00BE0E8C">
          <w:rPr>
            <w:rStyle w:val="Hyperlink"/>
            <w:u w:val="none"/>
          </w:rPr>
          <w:t>Notification No. FEMA.396/2019-RB dated October 17, 2019</w:t>
        </w:r>
      </w:hyperlink>
      <w:r w:rsidRPr="00BE0E8C">
        <w:rPr>
          <w:color w:val="000000"/>
        </w:rPr>
        <w:t>, as amended from time to time and the relevant Directions issued thereunder. A reference is also invited to </w:t>
      </w:r>
      <w:hyperlink r:id="rId57" w:tgtFrame="_blank" w:history="1">
        <w:r w:rsidRPr="00BE0E8C">
          <w:rPr>
            <w:rStyle w:val="Hyperlink"/>
            <w:u w:val="none"/>
          </w:rPr>
          <w:t>A.P. (DIR Series) Circular No. 30 dated April 15, 2020</w:t>
        </w:r>
      </w:hyperlink>
      <w:r w:rsidRPr="00BE0E8C">
        <w:rPr>
          <w:color w:val="000000"/>
        </w:rPr>
        <w:t> on the captioned subject.</w:t>
      </w:r>
    </w:p>
    <w:p w:rsidR="00F74A17" w:rsidRPr="00BE0E8C" w:rsidRDefault="00F74A17" w:rsidP="00F74A17">
      <w:pPr>
        <w:pStyle w:val="head"/>
        <w:shd w:val="clear" w:color="auto" w:fill="FFFFFF"/>
        <w:spacing w:before="0" w:beforeAutospacing="0" w:after="0" w:afterAutospacing="0"/>
        <w:jc w:val="both"/>
        <w:rPr>
          <w:b/>
          <w:bCs/>
          <w:color w:val="000000"/>
        </w:rPr>
      </w:pPr>
    </w:p>
    <w:p w:rsidR="00F74A17" w:rsidRPr="00BE0E8C" w:rsidRDefault="00F74A17" w:rsidP="00F74A17">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58" w:anchor="TA1" w:history="1">
        <w:r w:rsidRPr="00BE0E8C">
          <w:rPr>
            <w:rStyle w:val="Hyperlink"/>
            <w:u w:val="none"/>
          </w:rPr>
          <w:t>Table - 1</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1"/>
        <w:gridCol w:w="2264"/>
      </w:tblGrid>
      <w:tr w:rsidR="00F74A17" w:rsidRPr="00BE0E8C" w:rsidTr="00C20495">
        <w:trPr>
          <w:trHeight w:val="384"/>
          <w:jc w:val="center"/>
        </w:trPr>
        <w:tc>
          <w:tcPr>
            <w:tcW w:w="0" w:type="auto"/>
            <w:gridSpan w:val="2"/>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F74A17" w:rsidRPr="00BE0E8C" w:rsidTr="00C20495">
        <w:trPr>
          <w:trHeight w:val="384"/>
          <w:jc w:val="center"/>
        </w:trPr>
        <w:tc>
          <w:tcPr>
            <w:tcW w:w="0" w:type="auto"/>
            <w:gridSpan w:val="2"/>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F74A17" w:rsidRPr="00BE0E8C" w:rsidTr="00C20495">
        <w:trPr>
          <w:trHeight w:val="399"/>
          <w:jc w:val="center"/>
        </w:trPr>
        <w:tc>
          <w:tcPr>
            <w:tcW w:w="3650" w:type="pct"/>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F74A17" w:rsidRPr="00BE0E8C" w:rsidTr="00C20495">
        <w:trPr>
          <w:trHeight w:val="384"/>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F74A17" w:rsidRPr="00BE0E8C" w:rsidTr="00C20495">
        <w:trPr>
          <w:trHeight w:val="384"/>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lastRenderedPageBreak/>
        <w:t>b. The revised limits for FPI investment in Central Government securities (G-secs) and State Development Loans (SDLs) for FY 2021-22 will be advised separately. Till such announcement, the current limits (as in </w:t>
      </w:r>
      <w:hyperlink r:id="rId59" w:anchor="TA2" w:history="1">
        <w:r w:rsidRPr="00BE0E8C">
          <w:rPr>
            <w:rStyle w:val="Hyperlink"/>
            <w:u w:val="none"/>
          </w:rPr>
          <w:t>Table - 2</w:t>
        </w:r>
      </w:hyperlink>
      <w:r w:rsidRPr="00BE0E8C">
        <w:rPr>
          <w:color w:val="000000"/>
        </w:rPr>
        <w:t>), shall continue to be applicable.</w:t>
      </w:r>
    </w:p>
    <w:p w:rsidR="00F74A17" w:rsidRPr="00BE0E8C" w:rsidRDefault="00F74A17" w:rsidP="00F74A17">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1338"/>
        <w:gridCol w:w="1338"/>
        <w:gridCol w:w="1338"/>
        <w:gridCol w:w="1338"/>
      </w:tblGrid>
      <w:tr w:rsidR="00F74A17" w:rsidRPr="00BE0E8C" w:rsidTr="00C20495">
        <w:trPr>
          <w:trHeight w:val="338"/>
          <w:jc w:val="center"/>
        </w:trPr>
        <w:tc>
          <w:tcPr>
            <w:tcW w:w="0" w:type="auto"/>
            <w:gridSpan w:val="5"/>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F74A17" w:rsidRPr="00BE0E8C" w:rsidTr="00C20495">
        <w:trPr>
          <w:trHeight w:val="338"/>
          <w:jc w:val="center"/>
        </w:trPr>
        <w:tc>
          <w:tcPr>
            <w:tcW w:w="0" w:type="auto"/>
            <w:gridSpan w:val="5"/>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F74A17" w:rsidRPr="00BE0E8C" w:rsidTr="00C20495">
        <w:trPr>
          <w:trHeight w:val="764"/>
          <w:jc w:val="center"/>
        </w:trPr>
        <w:tc>
          <w:tcPr>
            <w:tcW w:w="1801"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F74A17" w:rsidRPr="00BE0E8C" w:rsidTr="00C20495">
        <w:trPr>
          <w:trHeight w:val="338"/>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3.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Bilateral Netting of Qualified Financial Contracts- Amendments to Prudential Guidelines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a) </w:t>
      </w:r>
      <w:hyperlink r:id="rId60" w:tgtFrame="_blank" w:history="1">
        <w:r w:rsidRPr="00BE0E8C">
          <w:rPr>
            <w:rStyle w:val="Hyperlink"/>
            <w:u w:val="none"/>
          </w:rPr>
          <w:t>Master Circular DBR.No.BP.BC.1/21.06.201/2015-16 dated July 1, 2015</w:t>
        </w:r>
      </w:hyperlink>
      <w:r w:rsidRPr="00BE0E8C">
        <w:rPr>
          <w:color w:val="000000"/>
        </w:rPr>
        <w:t> on ‘Basel III Capital Regulations’ as provided in </w:t>
      </w:r>
      <w:hyperlink r:id="rId61" w:tgtFrame="_blank" w:history="1">
        <w:r w:rsidRPr="00BE0E8C">
          <w:rPr>
            <w:rStyle w:val="Hyperlink"/>
            <w:u w:val="none"/>
          </w:rPr>
          <w:t>Annex 1</w:t>
        </w:r>
      </w:hyperlink>
      <w:r w:rsidRPr="00BE0E8C">
        <w:rPr>
          <w:color w:val="000000"/>
        </w:rPr>
        <w:t>;</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b) </w:t>
      </w:r>
      <w:hyperlink r:id="rId62" w:tgtFrame="_blank" w:history="1">
        <w:r w:rsidRPr="00BE0E8C">
          <w:rPr>
            <w:rStyle w:val="Hyperlink"/>
            <w:u w:val="none"/>
          </w:rPr>
          <w:t>Circular DBR.BP.BC.No.106/21.04.098/2017-18 dated May 17, 2018</w:t>
        </w:r>
      </w:hyperlink>
      <w:r w:rsidRPr="00BE0E8C">
        <w:rPr>
          <w:color w:val="000000"/>
        </w:rPr>
        <w:t> on ‘Basel III Framework on Liquidity Standards – Net Stable Funding Ratio (NSFR) – Final Guidelines’ as provided in </w:t>
      </w:r>
      <w:hyperlink r:id="rId63" w:tgtFrame="_blank" w:history="1">
        <w:r w:rsidRPr="00BE0E8C">
          <w:rPr>
            <w:rStyle w:val="Hyperlink"/>
            <w:u w:val="none"/>
          </w:rPr>
          <w:t>Annex 2</w:t>
        </w:r>
      </w:hyperlink>
      <w:r w:rsidRPr="00BE0E8C">
        <w:rPr>
          <w:color w:val="000000"/>
        </w:rPr>
        <w:t>;</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c) </w:t>
      </w:r>
      <w:hyperlink r:id="rId64" w:tgtFrame="_blank" w:history="1">
        <w:r w:rsidRPr="00BE0E8C">
          <w:rPr>
            <w:rStyle w:val="Hyperlink"/>
            <w:u w:val="none"/>
          </w:rPr>
          <w:t>Master Circular DBR.No.BP.BC.2/21.04.048/2015-16 dated July 1, 2015</w:t>
        </w:r>
      </w:hyperlink>
      <w:r w:rsidRPr="00BE0E8C">
        <w:rPr>
          <w:color w:val="000000"/>
        </w:rPr>
        <w:t> on ‘Prudential norms on Income Recognition, Asset Classification and Provisioning pertaining to Advances’ as provided in </w:t>
      </w:r>
      <w:hyperlink r:id="rId65" w:tgtFrame="_blank" w:history="1">
        <w:r w:rsidRPr="00BE0E8C">
          <w:rPr>
            <w:rStyle w:val="Hyperlink"/>
            <w:u w:val="none"/>
          </w:rPr>
          <w:t>Annex 3</w:t>
        </w:r>
      </w:hyperlink>
      <w:r w:rsidRPr="00BE0E8C">
        <w:rPr>
          <w:color w:val="000000"/>
        </w:rPr>
        <w:t>; and</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d) </w:t>
      </w:r>
      <w:hyperlink r:id="rId66" w:tgtFrame="_blank" w:history="1">
        <w:r w:rsidRPr="00BE0E8C">
          <w:rPr>
            <w:rStyle w:val="Hyperlink"/>
            <w:u w:val="none"/>
          </w:rPr>
          <w:t>Master Circular DBR.No.BP.BC.4./21.06.001/2015-16 dated July 1, 2015</w:t>
        </w:r>
      </w:hyperlink>
      <w:r w:rsidRPr="00BE0E8C">
        <w:rPr>
          <w:color w:val="000000"/>
        </w:rPr>
        <w:t> on Prudential Guidelines on Capital Adequacy and Market Discipline-New Capital Adequacy Framework (NCAF) as provided in </w:t>
      </w:r>
      <w:hyperlink r:id="rId67" w:tgtFrame="_blank" w:history="1">
        <w:r w:rsidRPr="00BE0E8C">
          <w:rPr>
            <w:rStyle w:val="Hyperlink"/>
            <w:u w:val="none"/>
          </w:rPr>
          <w:t>Annex 4</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lastRenderedPageBreak/>
        <w:t>FETERS – Cards: Monthly Reporting</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F74A17" w:rsidRPr="00BE0E8C" w:rsidRDefault="00F74A17" w:rsidP="00F74A1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68" w:tgtFrame="_blank" w:history="1">
        <w:r w:rsidRPr="00BE0E8C">
          <w:rPr>
            <w:rStyle w:val="Hyperlink"/>
            <w:u w:val="none"/>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69" w:tgtFrame="_blank" w:history="1">
        <w:r w:rsidRPr="00BE0E8C">
          <w:rPr>
            <w:rStyle w:val="Hyperlink"/>
            <w:u w:val="none"/>
          </w:rPr>
          <w:t>https://bop.rbi.org.in</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F74A17" w:rsidRPr="00BE0E8C" w:rsidRDefault="00F74A17" w:rsidP="00F74A17">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F74A17" w:rsidRPr="00BE0E8C" w:rsidRDefault="00F74A17" w:rsidP="00F74A17">
      <w:pPr>
        <w:pStyle w:val="NormalWeb"/>
        <w:numPr>
          <w:ilvl w:val="0"/>
          <w:numId w:val="11"/>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F74A17" w:rsidRPr="00BE0E8C" w:rsidRDefault="00F74A17" w:rsidP="00F74A17">
      <w:pPr>
        <w:pStyle w:val="NormalWeb"/>
        <w:numPr>
          <w:ilvl w:val="0"/>
          <w:numId w:val="11"/>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F74A17" w:rsidRPr="00BE0E8C" w:rsidRDefault="00F74A17" w:rsidP="00F74A17">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70" w:tgtFrame="_blank" w:history="1">
        <w:r w:rsidRPr="00BE0E8C">
          <w:rPr>
            <w:rStyle w:val="Hyperlink"/>
            <w:u w:val="none"/>
          </w:rPr>
          <w:t>Annex</w:t>
        </w:r>
      </w:hyperlink>
      <w:r w:rsidRPr="00BE0E8C">
        <w:rPr>
          <w:color w:val="000000"/>
        </w:rPr>
        <w:t>):</w:t>
      </w:r>
    </w:p>
    <w:p w:rsidR="00F74A17" w:rsidRPr="00BE0E8C" w:rsidRDefault="00F74A17" w:rsidP="00F74A17">
      <w:pPr>
        <w:pStyle w:val="NormalWeb"/>
        <w:numPr>
          <w:ilvl w:val="0"/>
          <w:numId w:val="12"/>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F74A17" w:rsidRPr="00BE0E8C" w:rsidRDefault="00F74A17" w:rsidP="00F74A17">
      <w:pPr>
        <w:pStyle w:val="NormalWeb"/>
        <w:numPr>
          <w:ilvl w:val="0"/>
          <w:numId w:val="12"/>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F74A17" w:rsidRPr="00BE0E8C" w:rsidRDefault="00F74A17" w:rsidP="00F74A17">
      <w:pPr>
        <w:pStyle w:val="NormalWeb"/>
        <w:shd w:val="clear" w:color="auto" w:fill="FFFFFF"/>
        <w:spacing w:before="0" w:beforeAutospacing="0" w:after="0" w:afterAutospacing="0"/>
        <w:rPr>
          <w:color w:val="000000"/>
        </w:rPr>
      </w:pPr>
    </w:p>
    <w:p w:rsidR="00F74A17" w:rsidRPr="00BE0E8C" w:rsidRDefault="00F74A17" w:rsidP="00F74A17">
      <w:pPr>
        <w:pStyle w:val="NormalWeb"/>
        <w:shd w:val="clear" w:color="auto" w:fill="FFFFFF"/>
        <w:spacing w:before="0" w:beforeAutospacing="0" w:after="0" w:afterAutospacing="0"/>
        <w:rPr>
          <w:color w:val="000000"/>
        </w:rPr>
      </w:pPr>
      <w:r w:rsidRPr="00BE0E8C">
        <w:rPr>
          <w:color w:val="000000"/>
        </w:rPr>
        <w:t xml:space="preserve">3. AD Banks need to report all card transactions (e.g., through </w:t>
      </w:r>
      <w:proofErr w:type="spellStart"/>
      <w:r w:rsidRPr="00BE0E8C">
        <w:rPr>
          <w:color w:val="000000"/>
        </w:rPr>
        <w:t>PoS</w:t>
      </w:r>
      <w:proofErr w:type="spellEnd"/>
      <w:r w:rsidRPr="00BE0E8C">
        <w:rPr>
          <w:color w:val="000000"/>
        </w:rPr>
        <w:t xml:space="preserve"> terminals / e-commerce (online purchase) / for transferring funds to bank accounts).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Data submission by ADs:</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71" w:tgtFrame="_blank" w:history="1">
        <w:r w:rsidRPr="00BE0E8C">
          <w:rPr>
            <w:rStyle w:val="Hyperlink"/>
            <w:u w:val="none"/>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72" w:history="1">
        <w:r w:rsidRPr="00BE0E8C">
          <w:rPr>
            <w:rStyle w:val="Hyperlink"/>
            <w:u w:val="none"/>
          </w:rPr>
          <w:t>e-mail</w:t>
        </w:r>
      </w:hyperlink>
      <w:r w:rsidRPr="00BE0E8C">
        <w:rPr>
          <w:color w:val="000000"/>
        </w:rPr>
        <w:t> or contact by phone at 022-26578416 or 022-26571154 (direct).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lastRenderedPageBreak/>
        <w:t>Large Exposures Framework – Deferment of applicability of limits on non-centrally cleared derivatives exposures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RBI/2020-21/109 DOR.No.CRE.BC.47/21.01.003/2020-21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Small Finance Banks, Payments Banks, Local Area Banks and Regional Rural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w:t>
      </w:r>
      <w:hyperlink r:id="rId73" w:tgtFrame="_blank" w:history="1">
        <w:r w:rsidRPr="00BE0E8C">
          <w:rPr>
            <w:rStyle w:val="Hyperlink"/>
            <w:u w:val="none"/>
          </w:rPr>
          <w:t>circular No.DOR.No.BP.BC.43/21.01.003/2019-20 dated March 23, 2020</w:t>
        </w:r>
      </w:hyperlink>
      <w:r w:rsidRPr="00BE0E8C">
        <w:rPr>
          <w:color w:val="000000"/>
        </w:rPr>
        <w:t> on Large Exposures Framework (LEF).</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On a review it has been decided that non-centrally cleared derivatives exposures will continue to be outside the purview of exposure limits till September 30, 2021.</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Data Format for Furnishing of Credit Information to Credit Information Companies and other Regulatory Measures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RBI/2020-21/106 DoR.FIN.REC.46/20.16.056/2020-21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12,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excluding Payment Banks, All Primary (Urban) Co-operative Banks/State Co-operative Banks/ District Central Co-operative Banks, All-India Financial Institutions (Exim Bank, NABARD, NHB and SIDBI), All Non-Banking Financial Companies (including Housing Finance Companies) All Credit Information Companies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74" w:tgtFrame="_blank" w:history="1">
        <w:r w:rsidRPr="00BE0E8C">
          <w:rPr>
            <w:rStyle w:val="Hyperlink"/>
            <w:u w:val="none"/>
          </w:rPr>
          <w:t>circular DBOD.No.CID.BC.127/20.16.056/2013-14 dated June 27, 2014</w:t>
        </w:r>
      </w:hyperlink>
      <w:r w:rsidRPr="00BE0E8C">
        <w:rPr>
          <w:color w:val="000000"/>
        </w:rPr>
        <w:t> inter alia setting out a Uniform Credit Reporting Format for the purpose of reporting credit information to the Credit Information Companies (CICs).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The Uniform Credit Reporting Format has two Annexes. The Annex-I contains two formats for credit reporting, viz., Consumer Bureau and Commercial Bureau, whereas Annex-II contains credit reporting format for Micro Finance Institution (MFI) segment.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It has now been decided to modify the aforesaid three formats as under:</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 </w:t>
      </w:r>
      <w:r w:rsidRPr="00BE0E8C">
        <w:rPr>
          <w:b/>
          <w:bCs/>
          <w:color w:val="000000"/>
        </w:rPr>
        <w:t>Consumer Bureau:</w:t>
      </w:r>
      <w:r w:rsidRPr="00BE0E8C">
        <w:rPr>
          <w:color w:val="000000"/>
        </w:rPr>
        <w:t> The label of the field ‘Written off and Settled status’ is modified as ‘Credit Facility Status’ and it will also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(ii) </w:t>
      </w:r>
      <w:r w:rsidRPr="00BE0E8C">
        <w:rPr>
          <w:b/>
          <w:bCs/>
          <w:color w:val="000000"/>
        </w:rPr>
        <w:t>Commercial Bureau:</w:t>
      </w:r>
      <w:r w:rsidRPr="00BE0E8C">
        <w:rPr>
          <w:color w:val="000000"/>
        </w:rPr>
        <w:t> The existing field ‘Major reasons for restructuring’ will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(iii) </w:t>
      </w:r>
      <w:r w:rsidRPr="00BE0E8C">
        <w:rPr>
          <w:b/>
          <w:bCs/>
          <w:color w:val="000000"/>
        </w:rPr>
        <w:t>MFI Bureau:</w:t>
      </w:r>
      <w:r w:rsidRPr="00BE0E8C">
        <w:rPr>
          <w:color w:val="000000"/>
        </w:rPr>
        <w:t> The existing field ‘Account status’ will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modifications are being made to enable banks/AIFIs/NBFCs to report the information relating to restructured loans to CICs as envisaged in </w:t>
      </w:r>
      <w:hyperlink r:id="rId75" w:tgtFrame="_blank" w:history="1">
        <w:r w:rsidRPr="00BE0E8C">
          <w:rPr>
            <w:rStyle w:val="Hyperlink"/>
            <w:u w:val="none"/>
          </w:rPr>
          <w:t>circular DOR.No.BP.BC.3/21.04.048/2020-21 dated August 6, 2020</w:t>
        </w:r>
      </w:hyperlink>
      <w:r w:rsidRPr="00BE0E8C">
        <w:rPr>
          <w:color w:val="000000"/>
        </w:rPr>
        <w:t>, on the Resolution Framework for COVID-19 related stress.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lastRenderedPageBreak/>
        <w:t>5. Banks/AIFIs/NBFCs should make necessary modification to their systems and commence reporting the above information to CICs within two months from the date of this circular. CICs shall make necessary modifications to their system to reflect the above changes.</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Investment by Foreign Portfolio Investors (FPI) in Defaulted Bonds – Relaxations</w:t>
      </w:r>
    </w:p>
    <w:p w:rsidR="00F74A17" w:rsidRPr="00BE0E8C" w:rsidRDefault="00F74A17" w:rsidP="00F74A17">
      <w:pPr>
        <w:pStyle w:val="NormalWeb"/>
        <w:shd w:val="clear" w:color="auto" w:fill="FFFFFF"/>
        <w:spacing w:before="0" w:beforeAutospacing="0" w:after="0" w:afterAutospacing="0"/>
        <w:jc w:val="both"/>
        <w:rPr>
          <w:b/>
          <w:color w:val="000000"/>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RBI/2020-21/105 A.P. (DIR Series) Circular No. 12</w:t>
      </w:r>
      <w:r w:rsidRPr="00BE0E8C">
        <w:rPr>
          <w:b/>
          <w:color w:val="000000"/>
        </w:rPr>
        <w:tab/>
      </w:r>
      <w:r w:rsidRPr="00BE0E8C">
        <w:rPr>
          <w:b/>
          <w:color w:val="000000"/>
        </w:rPr>
        <w:tab/>
        <w:t xml:space="preserve">         February 26, 2021</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i/>
          <w:color w:val="000000"/>
        </w:rPr>
      </w:pPr>
      <w:r w:rsidRPr="00BE0E8C">
        <w:rPr>
          <w:i/>
          <w:color w:val="000000"/>
        </w:rPr>
        <w:t>All Authorised persons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Foreign Exchange Management (Debt Instruments) Regulations, 2019 notified vide </w:t>
      </w:r>
      <w:hyperlink r:id="rId76" w:tgtFrame="_blank" w:history="1">
        <w:r w:rsidRPr="00BE0E8C">
          <w:rPr>
            <w:rStyle w:val="Hyperlink"/>
            <w:u w:val="none"/>
          </w:rPr>
          <w:t>Notification No. FEMA. 396/2019-RB dated October 17, 2019</w:t>
        </w:r>
      </w:hyperlink>
      <w:r w:rsidRPr="00BE0E8C">
        <w:rPr>
          <w:color w:val="000000"/>
        </w:rPr>
        <w:t>, as amended from time to time, and the relevant directions issued thereunder. A reference is also invited to </w:t>
      </w:r>
      <w:hyperlink r:id="rId77" w:tgtFrame="_blank" w:history="1">
        <w:r w:rsidRPr="00BE0E8C">
          <w:rPr>
            <w:rStyle w:val="Hyperlink"/>
            <w:u w:val="none"/>
          </w:rPr>
          <w:t>A.P. (DIR Series) Circular No. 31 dated November 26, 2015</w:t>
        </w:r>
      </w:hyperlink>
      <w:r w:rsidRPr="00BE0E8C">
        <w:rPr>
          <w:color w:val="000000"/>
        </w:rPr>
        <w:t> wherein FPIs were permitted to acquire NCDs/bonds, which are under default, either fully or partly, in the repayment of principal on maturity or principal instalment in the case of amortising bond, and to </w:t>
      </w:r>
      <w:hyperlink r:id="rId78" w:tgtFrame="_blank" w:history="1">
        <w:r w:rsidRPr="00BE0E8C">
          <w:rPr>
            <w:rStyle w:val="Hyperlink"/>
            <w:u w:val="none"/>
          </w:rPr>
          <w:t>A.P. (DIR Series) Circular No. 31 dated June 15, 2018</w:t>
        </w:r>
      </w:hyperlink>
      <w:r w:rsidRPr="00BE0E8C">
        <w:rPr>
          <w:color w:val="000000"/>
        </w:rPr>
        <w:t> (hereinafter, Directions), as amended from time to time.</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Attention of AD Category-I banks is also invited to para 12 of </w:t>
      </w:r>
      <w:hyperlink r:id="rId79" w:tgtFrame="_blank" w:history="1">
        <w:r w:rsidRPr="00BE0E8C">
          <w:rPr>
            <w:rStyle w:val="Hyperlink"/>
            <w:u w:val="none"/>
          </w:rPr>
          <w:t>Statement on Developmental and Regulatory Policies dated February 05, 2021</w:t>
        </w:r>
      </w:hyperlink>
      <w:r w:rsidRPr="00BE0E8C">
        <w:rPr>
          <w:color w:val="000000"/>
        </w:rPr>
        <w:t>, wherein it was announced that FPI investment in defaulted corporate bonds will be exempted from the short-term limit and the minimum residual maturity requirement under the MTF.</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updated </w:t>
      </w:r>
      <w:hyperlink r:id="rId80" w:tgtFrame="_blank" w:history="1">
        <w:r w:rsidRPr="00BE0E8C">
          <w:rPr>
            <w:rStyle w:val="Hyperlink"/>
            <w:u w:val="none"/>
          </w:rPr>
          <w:t>Directions</w:t>
        </w:r>
      </w:hyperlink>
      <w:r w:rsidRPr="00BE0E8C">
        <w:rPr>
          <w:color w:val="000000"/>
        </w:rPr>
        <w:t> are attached.</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These directions are issued under sections 10(4) and 11(1) of the Foreign Exchange Management Act, 1999 (42 of 1999) and are without prejudice to permissions/ approvals, if any, required under any other law.</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jc w:val="both"/>
        <w:rPr>
          <w:rStyle w:val="Hyperlink"/>
        </w:rPr>
      </w:pPr>
      <w:r w:rsidRPr="00BE0E8C">
        <w:rPr>
          <w:color w:val="000000"/>
        </w:rPr>
        <w:t xml:space="preserve">Updated MD: </w:t>
      </w:r>
      <w:hyperlink r:id="rId81" w:history="1">
        <w:r w:rsidRPr="00BE0E8C">
          <w:rPr>
            <w:rStyle w:val="Hyperlink"/>
          </w:rPr>
          <w:t>https://www.rbi.org.in/Scripts/NotificationUser.aspx?Id=11303&amp;Mode=0</w:t>
        </w:r>
      </w:hyperlink>
    </w:p>
    <w:p w:rsidR="00F74A17" w:rsidRPr="00BE0E8C" w:rsidRDefault="00F74A17" w:rsidP="00F74A17">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Direction on Digital Payment Security Controls</w:t>
      </w:r>
    </w:p>
    <w:p w:rsidR="00F74A17" w:rsidRPr="00BE0E8C" w:rsidRDefault="00F74A17" w:rsidP="00F74A17">
      <w:pPr>
        <w:spacing w:after="0" w:line="240" w:lineRule="auto"/>
        <w:jc w:val="both"/>
        <w:rPr>
          <w:rFonts w:ascii="Times New Roman" w:hAnsi="Times New Roman" w:cs="Times New Roman"/>
          <w:b/>
          <w:bCs/>
          <w:color w:val="000000"/>
          <w:sz w:val="24"/>
          <w:szCs w:val="24"/>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 xml:space="preserve">RBI/2020-21/74 </w:t>
      </w:r>
      <w:proofErr w:type="gramStart"/>
      <w:r w:rsidRPr="00BE0E8C">
        <w:rPr>
          <w:b/>
          <w:color w:val="000000"/>
        </w:rPr>
        <w:t>DoS.CO.CSITE.SEC.No.</w:t>
      </w:r>
      <w:proofErr w:type="gramEnd"/>
      <w:r w:rsidRPr="00BE0E8C">
        <w:rPr>
          <w:b/>
          <w:color w:val="000000"/>
        </w:rPr>
        <w:t>1852/31.01.015/2020-21       February 18, 2021</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lastRenderedPageBreak/>
        <w:t>The Chairman/ Managing Director/ Chief Executive Officer, All Scheduled Commercial Banks excluding RRBs/Small Finance Banks/Payments Banks/ Credit Card issuing NBFCs.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82"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83"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F74A17" w:rsidRPr="00BE0E8C" w:rsidRDefault="00F74A17" w:rsidP="00F74A17">
      <w:pPr>
        <w:shd w:val="clear" w:color="auto" w:fill="FFFFFF"/>
        <w:spacing w:after="0" w:line="240" w:lineRule="auto"/>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F74A17" w:rsidRPr="00BE0E8C" w:rsidRDefault="00F74A17" w:rsidP="00F74A1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F74A17" w:rsidRPr="00BE0E8C" w:rsidRDefault="00F74A17" w:rsidP="00F74A1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w:t>
      </w:r>
      <w:proofErr w:type="spellStart"/>
      <w:r w:rsidRPr="00BE0E8C">
        <w:rPr>
          <w:rFonts w:ascii="Times New Roman" w:eastAsia="Times New Roman" w:hAnsi="Times New Roman" w:cs="Times New Roman"/>
          <w:color w:val="000000"/>
          <w:sz w:val="24"/>
          <w:szCs w:val="24"/>
          <w:lang w:eastAsia="en-IN"/>
        </w:rPr>
        <w:t>DoR</w:t>
      </w:r>
      <w:proofErr w:type="spellEnd"/>
      <w:r w:rsidRPr="00BE0E8C">
        <w:rPr>
          <w:rFonts w:ascii="Times New Roman" w:eastAsia="Times New Roman" w:hAnsi="Times New Roman" w:cs="Times New Roman"/>
          <w:color w:val="000000"/>
          <w:sz w:val="24"/>
          <w:szCs w:val="24"/>
          <w:lang w:eastAsia="en-IN"/>
        </w:rPr>
        <w:t>) or Department of Supervision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of RBI including those to select Regulated Entities (REs), by way of circular or advisory, the timeline would be with immediate effect or as per the timelines already prescribed.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GENERAL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w:t>
      </w:r>
      <w:r w:rsidRPr="00BE0E8C">
        <w:rPr>
          <w:rFonts w:ascii="Times New Roman" w:eastAsia="Times New Roman" w:hAnsi="Times New Roman" w:cs="Times New Roman"/>
          <w:color w:val="000000"/>
          <w:sz w:val="24"/>
          <w:szCs w:val="24"/>
          <w:lang w:eastAsia="en-IN"/>
        </w:rPr>
        <w:lastRenderedPageBreak/>
        <w:t>benchmarks to detect and address adverse trends or concerns in a timely manner and modify the business plan/ strategy involving the product, when appropriate, based on the security performance of the product or service.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84"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minimise risk.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15. REs shall implement Web Application Firewall (WAF) solution and </w:t>
      </w:r>
      <w:proofErr w:type="spellStart"/>
      <w:r w:rsidRPr="00BE0E8C">
        <w:rPr>
          <w:rFonts w:ascii="Times New Roman" w:eastAsia="Times New Roman" w:hAnsi="Times New Roman" w:cs="Times New Roman"/>
          <w:color w:val="000000"/>
          <w:sz w:val="24"/>
          <w:szCs w:val="24"/>
          <w:lang w:eastAsia="en-IN"/>
        </w:rPr>
        <w:t>DDoS</w:t>
      </w:r>
      <w:proofErr w:type="spellEnd"/>
      <w:r w:rsidRPr="00BE0E8C">
        <w:rPr>
          <w:rFonts w:ascii="Times New Roman" w:eastAsia="Times New Roman" w:hAnsi="Times New Roman" w:cs="Times New Roman"/>
          <w:color w:val="000000"/>
          <w:sz w:val="24"/>
          <w:szCs w:val="24"/>
          <w:lang w:eastAsia="en-IN"/>
        </w:rPr>
        <w:t xml:space="preserve"> mitigation techniques to secure the digital payment products and services offered over Internet.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85"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86"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29. REs shall institute a mechanism to actively monitor for the non-genuine/ unauthorised/ malicious applications (with similar name/ features) on popular app-stores and the Web and respond accordingly to bring them down.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behavioural biometrics, transaction origination from point of compromise, transactions to mobile wallets/ mobile numbers/ VPAs on whom vishing fraud or other types of fraud is/are registered/ recorded, declined transactions, transactions with no approval code,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Investigative techniques and procedures;</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Customer Protection, Awareness and Grievance </w:t>
      </w:r>
      <w:proofErr w:type="spellStart"/>
      <w:r w:rsidRPr="00BE0E8C">
        <w:rPr>
          <w:rFonts w:ascii="Times New Roman" w:eastAsia="Times New Roman" w:hAnsi="Times New Roman" w:cs="Times New Roman"/>
          <w:b/>
          <w:bCs/>
          <w:color w:val="000000"/>
          <w:sz w:val="24"/>
          <w:szCs w:val="24"/>
          <w:lang w:eastAsia="en-IN"/>
        </w:rPr>
        <w:t>Redressal</w:t>
      </w:r>
      <w:proofErr w:type="spellEnd"/>
      <w:r w:rsidRPr="00BE0E8C">
        <w:rPr>
          <w:rFonts w:ascii="Times New Roman" w:eastAsia="Times New Roman" w:hAnsi="Times New Roman" w:cs="Times New Roman"/>
          <w:b/>
          <w:bCs/>
          <w:color w:val="000000"/>
          <w:sz w:val="24"/>
          <w:szCs w:val="24"/>
          <w:lang w:eastAsia="en-IN"/>
        </w:rPr>
        <w:t xml:space="preserve"> Mechanism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87"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w:t>
      </w:r>
      <w:proofErr w:type="spellStart"/>
      <w:r w:rsidRPr="00BE0E8C">
        <w:rPr>
          <w:rFonts w:ascii="Times New Roman" w:eastAsia="Times New Roman" w:hAnsi="Times New Roman" w:cs="Times New Roman"/>
          <w:color w:val="000000"/>
          <w:sz w:val="24"/>
          <w:szCs w:val="24"/>
          <w:lang w:eastAsia="en-IN"/>
        </w:rPr>
        <w:t>REs.</w:t>
      </w:r>
      <w:proofErr w:type="spellEnd"/>
      <w:r w:rsidRPr="00BE0E8C">
        <w:rPr>
          <w:rFonts w:ascii="Times New Roman" w:eastAsia="Times New Roman" w:hAnsi="Times New Roman" w:cs="Times New Roman"/>
          <w:color w:val="000000"/>
          <w:sz w:val="24"/>
          <w:szCs w:val="24"/>
          <w:lang w:eastAsia="en-IN"/>
        </w:rPr>
        <w:t xml:space="preserve"> The objective of this mechanism is to accelerate early detection and enable the banking/ payment system to trace the transaction trail and mitigate the loss to the defrauded customer at the earliest possible time.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88"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Based on the RE’s individual risk/ vulnerability assessment on authentication-related attacks such as brute force/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w:t>
      </w:r>
      <w:r w:rsidRPr="00BE0E8C">
        <w:rPr>
          <w:rFonts w:ascii="Times New Roman" w:eastAsia="Times New Roman" w:hAnsi="Times New Roman" w:cs="Times New Roman"/>
          <w:color w:val="000000"/>
          <w:sz w:val="24"/>
          <w:szCs w:val="24"/>
          <w:lang w:eastAsia="en-IN"/>
        </w:rPr>
        <w:lastRenderedPageBreak/>
        <w:t>measures shall be taken to prevent DNS cache poisoning attacks and for secure handling of cookies. Virtual keyboard option should be made available.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w:t>
      </w:r>
      <w:proofErr w:type="spellStart"/>
      <w:r w:rsidRPr="00BE0E8C">
        <w:rPr>
          <w:rFonts w:ascii="Times New Roman" w:eastAsia="Times New Roman" w:hAnsi="Times New Roman" w:cs="Times New Roman"/>
          <w:color w:val="000000"/>
          <w:sz w:val="24"/>
          <w:szCs w:val="24"/>
          <w:lang w:eastAsia="en-IN"/>
        </w:rPr>
        <w:t>eg</w:t>
      </w:r>
      <w:proofErr w:type="spellEnd"/>
      <w:r w:rsidRPr="00BE0E8C">
        <w:rPr>
          <w:rFonts w:ascii="Times New Roman" w:eastAsia="Times New Roman" w:hAnsi="Times New Roman" w:cs="Times New Roman"/>
          <w:color w:val="000000"/>
          <w:sz w:val="24"/>
          <w:szCs w:val="24"/>
          <w:lang w:eastAsia="en-IN"/>
        </w:rPr>
        <w:t>: in case of payment of taxes, e-commerce transactions, etc.), the procedure for authentication and the appearance/ look and feel of the RE’s internet banking site should be made uniform as far as possible.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89"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90"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91"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92"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PCI-PTS (security approval framework addresses the logical and/ or physical protection of cardholder and other sensitive data at point of interaction (POI) devices and hardware security modules (HSMs);</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68. REs should ensure that terminals installed at the merchants for capturing card details for payments or otherwise are validated against the PCI-P2PE program to use PCI-approved P2PE solutions;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terminals with PIN entry installed at the merchants for capturing card payments (including the double swipe terminals) are approved by the PCI-PTS program.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Implement security measures such as BIOS password, disabling USB ports, disabling auto-run facility, applying the latest patches of operating system and other </w:t>
      </w:r>
      <w:proofErr w:type="spellStart"/>
      <w:r w:rsidRPr="00BE0E8C">
        <w:rPr>
          <w:rFonts w:ascii="Times New Roman" w:eastAsia="Times New Roman" w:hAnsi="Times New Roman" w:cs="Times New Roman"/>
          <w:color w:val="000000"/>
          <w:sz w:val="24"/>
          <w:szCs w:val="24"/>
          <w:lang w:eastAsia="en-IN"/>
        </w:rPr>
        <w:t>softwares</w:t>
      </w:r>
      <w:proofErr w:type="spellEnd"/>
      <w:r w:rsidRPr="00BE0E8C">
        <w:rPr>
          <w:rFonts w:ascii="Times New Roman" w:eastAsia="Times New Roman" w:hAnsi="Times New Roman" w:cs="Times New Roman"/>
          <w:color w:val="000000"/>
          <w:sz w:val="24"/>
          <w:szCs w:val="24"/>
          <w:lang w:eastAsia="en-IN"/>
        </w:rPr>
        <w:t xml:space="preserve">, terminal security solution, time-based admin access, </w:t>
      </w:r>
      <w:proofErr w:type="spellStart"/>
      <w:r w:rsidRPr="00BE0E8C">
        <w:rPr>
          <w:rFonts w:ascii="Times New Roman" w:eastAsia="Times New Roman" w:hAnsi="Times New Roman" w:cs="Times New Roman"/>
          <w:color w:val="000000"/>
          <w:sz w:val="24"/>
          <w:szCs w:val="24"/>
          <w:lang w:eastAsia="en-IN"/>
        </w:rPr>
        <w:t>etc</w:t>
      </w:r>
      <w:proofErr w:type="spellEnd"/>
      <w:r w:rsidRPr="00BE0E8C">
        <w:rPr>
          <w:rFonts w:ascii="Times New Roman" w:eastAsia="Times New Roman" w:hAnsi="Times New Roman" w:cs="Times New Roman"/>
          <w:color w:val="000000"/>
          <w:sz w:val="24"/>
          <w:szCs w:val="24"/>
          <w:lang w:eastAsia="en-IN"/>
        </w:rPr>
        <w:t>;</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w:t>
      </w:r>
      <w:r w:rsidRPr="00BE0E8C">
        <w:rPr>
          <w:rFonts w:ascii="Times New Roman" w:eastAsia="Times New Roman" w:hAnsi="Times New Roman" w:cs="Times New Roman"/>
          <w:color w:val="000000"/>
          <w:sz w:val="24"/>
          <w:szCs w:val="24"/>
          <w:lang w:eastAsia="en-IN"/>
        </w:rPr>
        <w:lastRenderedPageBreak/>
        <w:t>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F74A17" w:rsidRPr="00BE0E8C" w:rsidRDefault="00F74A17" w:rsidP="00F74A17">
      <w:pPr>
        <w:numPr>
          <w:ilvl w:val="0"/>
          <w:numId w:val="25"/>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F74A17" w:rsidRPr="00BE0E8C" w:rsidRDefault="00F74A17" w:rsidP="00F74A17">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F74A17" w:rsidRPr="00BE0E8C" w:rsidRDefault="00736AAC" w:rsidP="00F74A17">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93" w:history="1">
        <w:r w:rsidR="00F74A17" w:rsidRPr="00BE0E8C">
          <w:rPr>
            <w:rStyle w:val="Hyperlink"/>
            <w:rFonts w:ascii="Times New Roman" w:eastAsia="Times New Roman" w:hAnsi="Times New Roman" w:cs="Times New Roman"/>
            <w:sz w:val="24"/>
            <w:szCs w:val="24"/>
            <w:lang w:eastAsia="en-IN"/>
          </w:rPr>
          <w:t>https://www.rbi.org.in/Scripts/NotificationUser.aspx?Id=12032&amp;Mode=0</w:t>
        </w:r>
      </w:hyperlink>
      <w:r w:rsidR="00F74A17" w:rsidRPr="00BE0E8C">
        <w:rPr>
          <w:rFonts w:ascii="Times New Roman" w:eastAsia="Times New Roman" w:hAnsi="Times New Roman" w:cs="Times New Roman"/>
          <w:color w:val="000000"/>
          <w:sz w:val="24"/>
          <w:szCs w:val="24"/>
          <w:lang w:eastAsia="en-IN"/>
        </w:rPr>
        <w:t xml:space="preserve"> </w:t>
      </w:r>
    </w:p>
    <w:p w:rsidR="00F74A17" w:rsidRDefault="00F74A17" w:rsidP="00F74A17">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Capital and provisioning requirements for exposures to entities with Unhedged Foreign Currency Exposure</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94" w:tgtFrame="_blank" w:history="1">
        <w:r w:rsidRPr="00BE0E8C">
          <w:rPr>
            <w:rStyle w:val="Hyperlink"/>
            <w:u w:val="none"/>
          </w:rPr>
          <w:t>circular DBOD.No.BP.BC.116/21.06.200/2013-14 dated June 3, 2014</w:t>
        </w:r>
      </w:hyperlink>
      <w:r w:rsidRPr="00BE0E8C">
        <w:rPr>
          <w:color w:val="000000"/>
        </w:rPr>
        <w:t> on capital and provisioning requirements for exposures to entities with Unhedged Foreign Currency Exposure (UFCE).</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The guidelines mandate that information on UFCE may be obtained by banks from entities on a quarterly basis, on self-certification basis, and preferably should be internally audited by the entity concerned. We have received representation from banks expressing their inability in obtaining UFCE certificates from listed entities for the latest quarter due to restrictions on disclosure of such information prior to finalisation of accounts.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lastRenderedPageBreak/>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F74A17" w:rsidRPr="00BE0E8C" w:rsidRDefault="00F74A17" w:rsidP="00F74A17">
      <w:pPr>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95"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96"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may allow resident individuals to make remittances under LRS to IFSCs in India, subject to the following conditions:</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Resident Individuals may also open a non interest bearing Foreign Currency Account (FCA) in IFSCs, for making the above permissible investments under LRS. Any funds lying idle in the account for a period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15 days from the date of its receipt into the account shall be immediately repatriated to domestic INR account of the investor in India.</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97"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xml:space="preserve"> is being updated to reflect the above changes.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should bring the contents of this circular to the notice of their constituents and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Default="00F74A1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Margin for Derivative Contracts</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Attention of Authorised Dealer Category-I (AD Cat-I) banks is invited to the Foreign Exchange Management (Margin for Derivative Contracts) Regulations, 2020 notified in the Gazette of </w:t>
      </w:r>
      <w:r w:rsidRPr="00BE0E8C">
        <w:rPr>
          <w:rFonts w:ascii="Times New Roman" w:eastAsia="Times New Roman" w:hAnsi="Times New Roman" w:cs="Times New Roman"/>
          <w:color w:val="000000"/>
          <w:sz w:val="24"/>
          <w:szCs w:val="24"/>
          <w:lang w:eastAsia="en-IN"/>
        </w:rPr>
        <w:lastRenderedPageBreak/>
        <w:t>India vide notification no. FEMA.399/RB-2020 dated October 23, 2020 (</w:t>
      </w:r>
      <w:hyperlink r:id="rId98"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Rupee bonds issued by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in India which are:</w:t>
      </w:r>
    </w:p>
    <w:p w:rsidR="00E03DB7" w:rsidRPr="00BE0E8C" w:rsidRDefault="00E03DB7" w:rsidP="00E03DB7">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E03DB7" w:rsidRPr="00BE0E8C" w:rsidRDefault="00E03DB7" w:rsidP="00E03DB7">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E03DB7" w:rsidRPr="00BE0E8C" w:rsidRDefault="00E03DB7" w:rsidP="00E03DB7">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E03DB7" w:rsidRPr="00BE0E8C" w:rsidRDefault="00E03DB7" w:rsidP="00E03DB7">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AD Cat-I banks shall maintain a separate account in the name of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outside India for the purpose of posting and collecting cash margin in India, and transactions incidental thereto.</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Commercial Banks (excluding Regional Rural </w:t>
      </w:r>
      <w:proofErr w:type="spellStart"/>
      <w:proofErr w:type="gramStart"/>
      <w:r w:rsidRPr="00BE0E8C">
        <w:rPr>
          <w:rFonts w:ascii="Times New Roman" w:eastAsia="Times New Roman" w:hAnsi="Times New Roman" w:cs="Times New Roman"/>
          <w:i/>
          <w:color w:val="000000"/>
          <w:sz w:val="24"/>
          <w:szCs w:val="24"/>
          <w:lang w:eastAsia="en-IN"/>
        </w:rPr>
        <w:t>Banks,Local</w:t>
      </w:r>
      <w:proofErr w:type="spellEnd"/>
      <w:proofErr w:type="gramEnd"/>
      <w:r w:rsidRPr="00BE0E8C">
        <w:rPr>
          <w:rFonts w:ascii="Times New Roman" w:eastAsia="Times New Roman" w:hAnsi="Times New Roman" w:cs="Times New Roman"/>
          <w:i/>
          <w:color w:val="000000"/>
          <w:sz w:val="24"/>
          <w:szCs w:val="24"/>
          <w:lang w:eastAsia="en-IN"/>
        </w:rPr>
        <w:t xml:space="preserve"> Area Banks and Payments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99" w:tgtFrame="_blank" w:history="1">
        <w:r w:rsidRPr="00BE0E8C">
          <w:rPr>
            <w:rStyle w:val="Hyperlink"/>
            <w:u w:val="none"/>
          </w:rPr>
          <w:t>circular DBR.BP.BC.No.106/21.04.098/2017-18 dated May 17, 2018</w:t>
        </w:r>
      </w:hyperlink>
      <w:r w:rsidRPr="00BE0E8C">
        <w:rPr>
          <w:color w:val="000000"/>
        </w:rPr>
        <w:t> on Basel III Framework on Liquidity Standards - Net Stable Funding Ratio (NSFR)-Final Guidelines (‘NSFR Guidelines’) and </w:t>
      </w:r>
      <w:hyperlink r:id="rId100" w:tgtFrame="_blank" w:history="1">
        <w:r w:rsidRPr="00BE0E8C">
          <w:rPr>
            <w:rStyle w:val="Hyperlink"/>
            <w:u w:val="none"/>
          </w:rPr>
          <w:t>circular DOR.BP.BC.No.16/21.04.098/2020-21 dated September 29, 2020</w:t>
        </w:r>
      </w:hyperlink>
      <w:r w:rsidRPr="00BE0E8C">
        <w:rPr>
          <w:color w:val="000000"/>
        </w:rPr>
        <w:t> deferring the implementation of the said guidelines till April 1,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view of the ongoing stress on account of COVID-19, it has been decided to defer the implementation of NSFR guidelines by a further period of six months. Accordingly, the NSFR Guidelines shall come into effect from October 1, 2021.</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Default="002E2BDE"/>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SLR holdings in HTM category</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Commercial Banks</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101"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102"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E03DB7" w:rsidRPr="00BE0E8C" w:rsidRDefault="00E03DB7" w:rsidP="00E03DB7">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E03DB7" w:rsidRPr="00BE0E8C" w:rsidRDefault="00E03DB7" w:rsidP="00E03DB7">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It has now been decided to extend the dispensation of enhanced HTM of 22 per cent to March 31, 2023 to include SLR securities acquired between April 1, 2021 and March 31, 2022. Thus, banks may exceed the limit specified in paragraph 2(b) above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22 per cent of NDTL (instead of 19.5 per cent of NDTL) till March 31, 2023, provided such excess is on account of SLR securities acquired between September 1, 2020 and March 31, 2022.</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103"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19.50 per cent as on December 31, 2023</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Default="00E03DB7" w:rsidP="00E03DB7">
      <w:pP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As per extant instructions, banks may shift investments to/from HTM with the approval of the Board of Directors once a year and such shifting will normally be allowed at the </w:t>
      </w:r>
      <w:r w:rsidRPr="00BE0E8C">
        <w:rPr>
          <w:rFonts w:ascii="Times New Roman" w:eastAsia="Times New Roman" w:hAnsi="Times New Roman" w:cs="Times New Roman"/>
          <w:color w:val="000000"/>
          <w:sz w:val="24"/>
          <w:szCs w:val="24"/>
          <w:lang w:eastAsia="en-IN"/>
        </w:rPr>
        <w:lastRenderedPageBreak/>
        <w:t>beginning of the accounting year. However, in order to enable banks to shift their excess SLR securities from the HTM category to available for sale (AFS)/ held for trading (HFT) to comply with the instructions as indicated in paragraph 5 above, it has been decided to allow such shifting of the excess securities during the quarter in which the HTM ceiling is brought down. This would be in addition to the shifting permitted at the beginning of the accounting year.</w:t>
      </w: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Basel III Capital Regulations- Review of transitional arrangements</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RBI/2020-21/93 </w:t>
      </w:r>
      <w:proofErr w:type="gramStart"/>
      <w:r w:rsidRPr="00BE0E8C">
        <w:rPr>
          <w:b/>
          <w:color w:val="000000"/>
        </w:rPr>
        <w:t>DOR.CAP.BC.No.</w:t>
      </w:r>
      <w:proofErr w:type="gramEnd"/>
      <w:r w:rsidRPr="00BE0E8C">
        <w:rPr>
          <w:b/>
          <w:color w:val="000000"/>
        </w:rPr>
        <w:t xml:space="preserve">34/21.06.201/2020-21 </w:t>
      </w:r>
      <w:r w:rsidRPr="00BE0E8C">
        <w:rPr>
          <w:b/>
          <w:color w:val="000000"/>
        </w:rPr>
        <w:tab/>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E03DB7" w:rsidRPr="00BE0E8C" w:rsidRDefault="00E03DB7" w:rsidP="00E03DB7">
      <w:pPr>
        <w:pStyle w:val="NormalWeb"/>
        <w:shd w:val="clear" w:color="auto" w:fill="FFFFFF"/>
        <w:spacing w:before="0" w:beforeAutospacing="0" w:after="0" w:afterAutospacing="0"/>
        <w:jc w:val="both"/>
        <w:rPr>
          <w:i/>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w:t>
      </w:r>
      <w:hyperlink r:id="rId104" w:tgtFrame="_blank" w:history="1">
        <w:r w:rsidRPr="00BE0E8C">
          <w:rPr>
            <w:rStyle w:val="Hyperlink"/>
            <w:u w:val="none"/>
          </w:rPr>
          <w:t>circular DOR.BP.BC.No.15/21.06.201/2020-21 dated September 29, 2020</w:t>
        </w:r>
      </w:hyperlink>
      <w:r w:rsidRPr="00BE0E8C">
        <w:rPr>
          <w:color w:val="000000"/>
        </w:rPr>
        <w:t> on ‘Basel III Capital Regulations- Review of transitional arrangements’.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105" w:tgtFrame="_blank" w:history="1">
        <w:r w:rsidRPr="00BE0E8C">
          <w:rPr>
            <w:rStyle w:val="Hyperlink"/>
            <w:u w:val="none"/>
          </w:rPr>
          <w:t>Master Circular, DBR.No.BP.BC.1/21.06.201/2015-16 dated July 1, 2015</w:t>
        </w:r>
      </w:hyperlink>
      <w:r w:rsidRPr="00BE0E8C">
        <w:rPr>
          <w:color w:val="000000"/>
        </w:rPr>
        <w:t> on ‘Basel III Capital Regulations’, shall continue to apply till the CCB attains the level of 2.5 per cent on October 1,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E03DB7" w:rsidRPr="00BE0E8C" w:rsidRDefault="00E03DB7" w:rsidP="00E03DB7">
      <w:pPr>
        <w:pStyle w:val="NormalWeb"/>
        <w:pBdr>
          <w:bottom w:val="single" w:sz="12" w:space="1" w:color="auto"/>
        </w:pBdr>
        <w:shd w:val="clear" w:color="auto" w:fill="FFFFFF"/>
        <w:spacing w:before="0" w:beforeAutospacing="0" w:after="0" w:afterAutospacing="0"/>
        <w:jc w:val="both"/>
        <w:rPr>
          <w:color w:val="000000"/>
        </w:rPr>
      </w:pPr>
    </w:p>
    <w:p w:rsidR="00E03DB7" w:rsidRDefault="00E03DB7" w:rsidP="00E03DB7"/>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Section 24 of the Banking Regulation Act, 1949 – Maintenance of Statutory Liquidity Ratio (SLR) – Marginal Standing Facility (MSF) - Extension of Relaxation</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RBI/2020-21/91 </w:t>
      </w:r>
      <w:proofErr w:type="gramStart"/>
      <w:r w:rsidRPr="00BE0E8C">
        <w:rPr>
          <w:b/>
          <w:color w:val="000000"/>
        </w:rPr>
        <w:t>DOR.No.Ret.BC</w:t>
      </w:r>
      <w:proofErr w:type="gramEnd"/>
      <w:r w:rsidRPr="00BE0E8C">
        <w:rPr>
          <w:b/>
          <w:color w:val="000000"/>
        </w:rPr>
        <w:t>.36/12.01.001/2020-21</w:t>
      </w:r>
      <w:r w:rsidRPr="00BE0E8C">
        <w:rPr>
          <w:b/>
          <w:color w:val="000000"/>
        </w:rPr>
        <w:tab/>
      </w:r>
      <w:r w:rsidRPr="00BE0E8C">
        <w:rPr>
          <w:b/>
          <w:color w:val="000000"/>
        </w:rPr>
        <w:tab/>
        <w:t>February 05, 2021</w:t>
      </w:r>
    </w:p>
    <w:p w:rsidR="00E03DB7" w:rsidRPr="00BE0E8C" w:rsidRDefault="00E03DB7" w:rsidP="00E03DB7">
      <w:pPr>
        <w:pStyle w:val="NormalWeb"/>
        <w:shd w:val="clear" w:color="auto" w:fill="FFFFFF"/>
        <w:spacing w:before="0" w:beforeAutospacing="0" w:after="0" w:afterAutospacing="0"/>
        <w:jc w:val="both"/>
        <w:rPr>
          <w:i/>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Scheduled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06" w:tgtFrame="_blank" w:history="1">
        <w:r w:rsidRPr="00BE0E8C">
          <w:rPr>
            <w:rStyle w:val="Hyperlink"/>
            <w:u w:val="none"/>
          </w:rPr>
          <w:t>circulars DOR.No.Ret.BC.52/12.01.001/2019-20 dated March 27, 2020</w:t>
        </w:r>
      </w:hyperlink>
      <w:r w:rsidRPr="00BE0E8C">
        <w:rPr>
          <w:color w:val="000000"/>
        </w:rPr>
        <w:t>, </w:t>
      </w:r>
      <w:hyperlink r:id="rId107" w:tgtFrame="_blank" w:history="1">
        <w:r w:rsidRPr="00BE0E8C">
          <w:rPr>
            <w:rStyle w:val="Hyperlink"/>
            <w:u w:val="none"/>
          </w:rPr>
          <w:t>DOR.RRB.No.28/31.01.001/2020-21 dated December 4, 2020</w:t>
        </w:r>
      </w:hyperlink>
      <w:r w:rsidRPr="00BE0E8C">
        <w:rPr>
          <w:color w:val="000000"/>
        </w:rPr>
        <w:t> and </w:t>
      </w:r>
      <w:hyperlink r:id="rId108" w:tgtFrame="_blank" w:history="1">
        <w:r w:rsidRPr="00BE0E8C">
          <w:rPr>
            <w:rStyle w:val="Hyperlink"/>
            <w:u w:val="none"/>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As announced in the </w:t>
      </w:r>
      <w:hyperlink r:id="rId109" w:tgtFrame="_blank" w:history="1">
        <w:r w:rsidRPr="00BE0E8C">
          <w:rPr>
            <w:rStyle w:val="Hyperlink"/>
            <w:u w:val="none"/>
          </w:rPr>
          <w:t>Statement of Developmental and Regulatory Policies of February 05, 2021</w:t>
        </w:r>
      </w:hyperlink>
      <w:r w:rsidRPr="00BE0E8C">
        <w:rPr>
          <w:color w:val="000000"/>
        </w:rPr>
        <w:t xml:space="preserve">, with a view to providing comfort to banks on their liquidity requirements, banks are </w:t>
      </w:r>
      <w:r w:rsidRPr="00BE0E8C">
        <w:rPr>
          <w:color w:val="000000"/>
        </w:rPr>
        <w:lastRenderedPageBreak/>
        <w:t>allowed to continue with the MSF relaxation for a further period of six months, i.e., up to September 30, 2021.</w:t>
      </w:r>
    </w:p>
    <w:p w:rsidR="00E03DB7" w:rsidRDefault="00E03DB7" w:rsidP="00E03DB7"/>
    <w:p w:rsidR="00E03DB7" w:rsidRDefault="00E03DB7" w:rsidP="00E03DB7"/>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Maintenance of Cash Reserve Ratio (CRR)</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RBI/2020-21/90 </w:t>
      </w:r>
      <w:proofErr w:type="gramStart"/>
      <w:r w:rsidRPr="00BE0E8C">
        <w:rPr>
          <w:b/>
          <w:color w:val="000000"/>
        </w:rPr>
        <w:t>DOR.No.Ret.BC</w:t>
      </w:r>
      <w:proofErr w:type="gramEnd"/>
      <w:r w:rsidRPr="00BE0E8C">
        <w:rPr>
          <w:b/>
          <w:color w:val="000000"/>
        </w:rPr>
        <w:t>.35/12.01.001/2020-21</w:t>
      </w:r>
      <w:r w:rsidRPr="00BE0E8C">
        <w:rPr>
          <w:b/>
          <w:color w:val="000000"/>
        </w:rPr>
        <w:tab/>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10" w:tgtFrame="_blank" w:history="1">
        <w:r w:rsidRPr="00BE0E8C">
          <w:rPr>
            <w:rStyle w:val="Hyperlink"/>
            <w:u w:val="none"/>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11" w:tgtFrame="_blank" w:history="1">
        <w:r w:rsidRPr="00BE0E8C">
          <w:rPr>
            <w:rStyle w:val="Hyperlink"/>
            <w:u w:val="none"/>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E03DB7" w:rsidRDefault="00E03DB7" w:rsidP="00E03DB7"/>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the </w:t>
      </w:r>
      <w:hyperlink r:id="rId112"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113" w:tgtFrame="_blank" w:history="1">
        <w:r w:rsidRPr="00BE0E8C">
          <w:rPr>
            <w:rStyle w:val="Hyperlink"/>
          </w:rPr>
          <w:t>Master Circular DBR.No.BP.BC.1/21.06.201/2015-16 dated July 1, 2015</w:t>
        </w:r>
      </w:hyperlink>
      <w:r w:rsidRPr="00BE0E8C">
        <w:rPr>
          <w:color w:val="000000"/>
        </w:rPr>
        <w:t> on Basel III Capital Regulations.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lastRenderedPageBreak/>
        <w:t>3. All other provisions regarding external credit ratings stipulated in the aforementioned Master Circulars remain unchanged.</w:t>
      </w:r>
    </w:p>
    <w:p w:rsidR="00E03DB7" w:rsidRDefault="00E03DB7" w:rsidP="00E03DB7"/>
    <w:p w:rsidR="00E03DB7" w:rsidRDefault="00E03DB7" w:rsidP="00E03DB7"/>
    <w:p w:rsidR="00E03DB7" w:rsidRDefault="00E03DB7" w:rsidP="00E03DB7">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RBI releases 2020 list of Domestic Systemically Important Banks (D-SIBs)</w:t>
      </w:r>
      <w:r>
        <w:rPr>
          <w:rFonts w:ascii="Times New Roman" w:hAnsi="Times New Roman" w:cs="Times New Roman"/>
          <w:b/>
          <w:color w:val="000000"/>
          <w:sz w:val="24"/>
          <w:szCs w:val="24"/>
        </w:rPr>
        <w:tab/>
      </w:r>
    </w:p>
    <w:p w:rsidR="00E03DB7" w:rsidRDefault="00E03DB7" w:rsidP="00E03D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Date: </w:t>
      </w:r>
      <w:r w:rsidRPr="00C203D8">
        <w:rPr>
          <w:rFonts w:ascii="Times New Roman" w:hAnsi="Times New Roman" w:cs="Times New Roman"/>
          <w:b/>
          <w:bCs/>
          <w:color w:val="000000"/>
          <w:sz w:val="24"/>
          <w:szCs w:val="24"/>
        </w:rPr>
        <w:t>Jan 19, 2021</w:t>
      </w:r>
    </w:p>
    <w:p w:rsidR="00E03DB7" w:rsidRDefault="00E03DB7" w:rsidP="00E03DB7">
      <w:pPr>
        <w:spacing w:after="0" w:line="240" w:lineRule="auto"/>
        <w:jc w:val="both"/>
        <w:rPr>
          <w:rFonts w:ascii="Times New Roman" w:hAnsi="Times New Roman" w:cs="Times New Roman"/>
          <w:b/>
          <w:bCs/>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SBI, ICICI Bank, and HDFC Bank continue to be identified as Domestic Systemically Important Banks (D-SIBs), under the same bucketing structure as in the 2018 list of D-SIBs. The additional Common Equity Tier 1 (CET1) requirement for D-SIBs was phased-in from April 1, 2016 and became fully effective from April 1, 2019. The additional CET1 requirement will be in addition to the capital conservation buffer.</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list of D-SIBs is as follows:</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3380"/>
        <w:gridCol w:w="3705"/>
      </w:tblGrid>
      <w:tr w:rsidR="00E03DB7" w:rsidRPr="00C203D8" w:rsidTr="00C20495">
        <w:trPr>
          <w:trHeight w:val="955"/>
          <w:jc w:val="center"/>
        </w:trPr>
        <w:tc>
          <w:tcPr>
            <w:tcW w:w="642"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Bucket</w:t>
            </w:r>
          </w:p>
        </w:tc>
        <w:tc>
          <w:tcPr>
            <w:tcW w:w="2079"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Additional Common Equity Tier 1 requirement as a percentage of Risk Weighted Assets (RWAs)</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0.80%</w:t>
            </w:r>
          </w:p>
        </w:tc>
      </w:tr>
      <w:tr w:rsidR="00E03DB7" w:rsidRPr="00C203D8" w:rsidTr="00C20495">
        <w:trPr>
          <w:trHeight w:val="245"/>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0.60%</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0.40%</w:t>
            </w:r>
          </w:p>
        </w:tc>
      </w:tr>
      <w:tr w:rsidR="00E03DB7" w:rsidRPr="00C203D8" w:rsidTr="00C20495">
        <w:trPr>
          <w:trHeight w:val="245"/>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0.20%</w:t>
            </w:r>
          </w:p>
        </w:tc>
      </w:tr>
    </w:tbl>
    <w:p w:rsidR="00E03DB7"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Background:</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E03DB7" w:rsidRPr="00C203D8" w:rsidRDefault="00E03DB7" w:rsidP="00E03DB7">
      <w:pPr>
        <w:spacing w:after="0" w:line="240" w:lineRule="auto"/>
        <w:jc w:val="both"/>
        <w:rPr>
          <w:rFonts w:ascii="Times New Roman" w:hAnsi="Times New Roman" w:cs="Times New Roman"/>
          <w:b/>
          <w:color w:val="000000"/>
          <w:sz w:val="24"/>
          <w:szCs w:val="24"/>
        </w:rPr>
      </w:pPr>
    </w:p>
    <w:p w:rsidR="00E03DB7" w:rsidRDefault="00E03DB7" w:rsidP="00E03DB7">
      <w:pPr>
        <w:rPr>
          <w:rFonts w:ascii="Times New Roman" w:hAnsi="Times New Roman" w:cs="Times New Roman"/>
          <w:b/>
          <w:color w:val="000000"/>
          <w:sz w:val="24"/>
          <w:szCs w:val="24"/>
        </w:rPr>
      </w:pPr>
      <w:r w:rsidRPr="005040B9">
        <w:rPr>
          <w:rFonts w:ascii="Times New Roman" w:hAnsi="Times New Roman" w:cs="Times New Roman"/>
          <w:color w:val="000000"/>
          <w:sz w:val="24"/>
          <w:szCs w:val="24"/>
        </w:rPr>
        <w:br w:type="page"/>
      </w:r>
      <w:r w:rsidRPr="003B3D9C">
        <w:rPr>
          <w:rFonts w:ascii="Times New Roman" w:hAnsi="Times New Roman" w:cs="Times New Roman"/>
          <w:b/>
          <w:color w:val="000000"/>
          <w:sz w:val="24"/>
          <w:szCs w:val="24"/>
        </w:rPr>
        <w:lastRenderedPageBreak/>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E03DB7" w:rsidRDefault="00E03DB7" w:rsidP="00E03DB7">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E03DB7" w:rsidRPr="003B3D9C"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E03DB7" w:rsidRPr="003B3D9C" w:rsidRDefault="00E03DB7" w:rsidP="00E03DB7">
      <w:pPr>
        <w:pStyle w:val="ListParagraph"/>
        <w:numPr>
          <w:ilvl w:val="0"/>
          <w:numId w:val="33"/>
        </w:numPr>
        <w:spacing w:after="0" w:line="240" w:lineRule="auto"/>
        <w:jc w:val="both"/>
        <w:rPr>
          <w:rFonts w:ascii="Times New Roman" w:hAnsi="Times New Roman" w:cs="Times New Roman"/>
          <w:color w:val="000000"/>
          <w:sz w:val="24"/>
          <w:szCs w:val="24"/>
        </w:rPr>
      </w:pPr>
      <w:proofErr w:type="spellStart"/>
      <w:r w:rsidRPr="003B3D9C">
        <w:rPr>
          <w:rFonts w:ascii="Times New Roman" w:hAnsi="Times New Roman" w:cs="Times New Roman"/>
          <w:color w:val="000000"/>
          <w:sz w:val="24"/>
          <w:szCs w:val="24"/>
        </w:rPr>
        <w:t>were</w:t>
      </w:r>
      <w:proofErr w:type="spellEnd"/>
      <w:r w:rsidRPr="003B3D9C">
        <w:rPr>
          <w:rFonts w:ascii="Times New Roman" w:hAnsi="Times New Roman" w:cs="Times New Roman"/>
          <w:color w:val="000000"/>
          <w:sz w:val="24"/>
          <w:szCs w:val="24"/>
        </w:rPr>
        <w:t xml:space="preserve"> not being interpreted uniformly by all practitioners; </w:t>
      </w:r>
    </w:p>
    <w:p w:rsidR="00E03DB7" w:rsidRPr="003B3D9C" w:rsidRDefault="00E03DB7" w:rsidP="00E03DB7">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E03DB7" w:rsidRPr="003B3D9C" w:rsidRDefault="00E03DB7" w:rsidP="00E03DB7">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E03DB7" w:rsidRDefault="00E03DB7" w:rsidP="00E03DB7">
      <w:pPr>
        <w:spacing w:after="0" w:line="240" w:lineRule="auto"/>
        <w:jc w:val="both"/>
        <w:rPr>
          <w:rFonts w:ascii="Times New Roman" w:hAnsi="Times New Roman" w:cs="Times New Roman"/>
          <w:color w:val="000000"/>
          <w:sz w:val="24"/>
          <w:szCs w:val="24"/>
        </w:rPr>
      </w:pPr>
    </w:p>
    <w:p w:rsidR="00E03DB7" w:rsidRPr="003B3D9C"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E03DB7" w:rsidRDefault="00E03DB7" w:rsidP="00E03DB7">
      <w:pPr>
        <w:spacing w:after="0" w:line="240" w:lineRule="auto"/>
        <w:jc w:val="both"/>
        <w:rPr>
          <w:rFonts w:ascii="Times New Roman" w:hAnsi="Times New Roman" w:cs="Times New Roman"/>
          <w:color w:val="000000"/>
          <w:sz w:val="24"/>
          <w:szCs w:val="24"/>
        </w:rPr>
      </w:pPr>
    </w:p>
    <w:p w:rsidR="00E03DB7"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The RBI vide their letter </w:t>
      </w:r>
      <w:proofErr w:type="spellStart"/>
      <w:r w:rsidRPr="003B3D9C">
        <w:rPr>
          <w:rFonts w:ascii="Times New Roman" w:hAnsi="Times New Roman" w:cs="Times New Roman"/>
          <w:color w:val="000000"/>
          <w:sz w:val="24"/>
          <w:szCs w:val="24"/>
        </w:rPr>
        <w:t>FED.CO.Trade</w:t>
      </w:r>
      <w:proofErr w:type="spellEnd"/>
      <w:r w:rsidRPr="003B3D9C">
        <w:rPr>
          <w:rFonts w:ascii="Times New Roman" w:hAnsi="Times New Roman" w:cs="Times New Roman"/>
          <w:color w:val="000000"/>
          <w:sz w:val="24"/>
          <w:szCs w:val="24"/>
        </w:rPr>
        <w:t>/1875/05.31.077/2020-21 dated March 05, 2021 have clarified these terms as used in various guidelines, which is enclosed herewith for your record and compliance.</w:t>
      </w:r>
    </w:p>
    <w:p w:rsidR="00E03DB7" w:rsidRDefault="00E03DB7" w:rsidP="00E03DB7">
      <w:pPr>
        <w:spacing w:after="0" w:line="240" w:lineRule="auto"/>
        <w:jc w:val="both"/>
        <w:rPr>
          <w:rFonts w:ascii="Times New Roman" w:hAnsi="Times New Roman" w:cs="Times New Roman"/>
          <w:color w:val="000000"/>
          <w:sz w:val="24"/>
          <w:szCs w:val="24"/>
        </w:rPr>
      </w:pPr>
    </w:p>
    <w:p w:rsidR="00E03DB7" w:rsidRDefault="00E03DB7" w:rsidP="00E03DB7">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Annexure to FEDAI Circular SPL-01/</w:t>
      </w:r>
      <w:proofErr w:type="spellStart"/>
      <w:r w:rsidRPr="003B3D9C">
        <w:rPr>
          <w:rFonts w:ascii="Times New Roman" w:hAnsi="Times New Roman" w:cs="Times New Roman"/>
          <w:color w:val="000000"/>
          <w:sz w:val="24"/>
          <w:szCs w:val="24"/>
        </w:rPr>
        <w:t>Exp</w:t>
      </w:r>
      <w:proofErr w:type="spellEnd"/>
      <w:r w:rsidRPr="003B3D9C">
        <w:rPr>
          <w:rFonts w:ascii="Times New Roman" w:hAnsi="Times New Roman" w:cs="Times New Roman"/>
          <w:color w:val="000000"/>
          <w:sz w:val="24"/>
          <w:szCs w:val="24"/>
        </w:rPr>
        <w:t xml:space="preserve">-imp/2021 dated 09th March2021: </w:t>
      </w:r>
      <w:r>
        <w:rPr>
          <w:rFonts w:ascii="Times New Roman" w:hAnsi="Times New Roman" w:cs="Times New Roman"/>
          <w:color w:val="000000"/>
          <w:sz w:val="24"/>
          <w:szCs w:val="24"/>
        </w:rPr>
        <w:t xml:space="preserve"> </w:t>
      </w:r>
      <w:hyperlink r:id="rId114" w:history="1">
        <w:r w:rsidRPr="003A2F80">
          <w:rPr>
            <w:rStyle w:val="Hyperlink"/>
            <w:rFonts w:ascii="Times New Roman" w:hAnsi="Times New Roman" w:cs="Times New Roman"/>
            <w:sz w:val="24"/>
            <w:szCs w:val="24"/>
          </w:rPr>
          <w:t>https://www.fedai.org.in/DocumentUploadFiles/SpecialCircular/SPL-01.2021dt.09March2021.pdf</w:t>
        </w:r>
      </w:hyperlink>
    </w:p>
    <w:p w:rsidR="00E03DB7" w:rsidRDefault="00E03DB7" w:rsidP="00E03DB7"/>
    <w:p w:rsidR="006C1738" w:rsidRPr="00BE0E8C" w:rsidRDefault="006C1738" w:rsidP="006C1738">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6C1738" w:rsidRPr="00BE0E8C" w:rsidRDefault="006C1738" w:rsidP="006C173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C1738" w:rsidRPr="00BE0E8C" w:rsidRDefault="006C1738" w:rsidP="006C173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6C1738" w:rsidRPr="00BE0E8C" w:rsidRDefault="006C1738" w:rsidP="006C1738">
      <w:pPr>
        <w:shd w:val="clear" w:color="auto" w:fill="FFFFFF"/>
        <w:spacing w:after="0" w:line="240" w:lineRule="auto"/>
        <w:jc w:val="both"/>
        <w:rPr>
          <w:rFonts w:ascii="Times New Roman" w:hAnsi="Times New Roman" w:cs="Times New Roman"/>
          <w:i/>
          <w:color w:val="000000"/>
          <w:sz w:val="24"/>
          <w:szCs w:val="24"/>
        </w:rPr>
      </w:pPr>
    </w:p>
    <w:p w:rsidR="006C1738" w:rsidRPr="00BE0E8C" w:rsidRDefault="006C1738" w:rsidP="006C1738">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p>
    <w:p w:rsidR="006C1738" w:rsidRPr="00BE0E8C" w:rsidRDefault="006C1738" w:rsidP="006C173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5. The directions contained in this circular have been issued under section 10(4) and 11(2) of the Foreign Exchange Management Act, 1999 (42 of 1999) and are without prejudice to permissions/ approvals, if any, required under any other law.</w:t>
      </w:r>
    </w:p>
    <w:p w:rsidR="006C1738" w:rsidRDefault="006C1738" w:rsidP="006C1738">
      <w:pPr>
        <w:pStyle w:val="NormalWeb"/>
        <w:pBdr>
          <w:bottom w:val="single" w:sz="12" w:space="1" w:color="auto"/>
        </w:pBdr>
        <w:shd w:val="clear" w:color="auto" w:fill="FFFFFF"/>
        <w:spacing w:before="0" w:beforeAutospacing="0" w:after="0" w:afterAutospacing="0"/>
        <w:jc w:val="both"/>
      </w:pPr>
    </w:p>
    <w:p w:rsidR="006C1738" w:rsidRPr="00BE0E8C" w:rsidRDefault="00736AAC" w:rsidP="006C1738">
      <w:pPr>
        <w:pStyle w:val="NormalWeb"/>
        <w:pBdr>
          <w:bottom w:val="single" w:sz="12" w:space="1" w:color="auto"/>
        </w:pBdr>
        <w:shd w:val="clear" w:color="auto" w:fill="FFFFFF"/>
        <w:spacing w:before="0" w:beforeAutospacing="0" w:after="0" w:afterAutospacing="0"/>
        <w:jc w:val="both"/>
        <w:rPr>
          <w:color w:val="000000"/>
        </w:rPr>
      </w:pPr>
      <w:hyperlink r:id="rId115" w:history="1">
        <w:r w:rsidR="006C1738" w:rsidRPr="00BE0E8C">
          <w:rPr>
            <w:rStyle w:val="Hyperlink"/>
          </w:rPr>
          <w:t>https://www.rbi.org.in/Scripts/NotificationUser.aspx?Id=12070&amp;Mode=0</w:t>
        </w:r>
      </w:hyperlink>
    </w:p>
    <w:p w:rsidR="006C1738" w:rsidRDefault="006C1738" w:rsidP="00E03DB7"/>
    <w:p w:rsidR="006C1738" w:rsidRDefault="006C1738" w:rsidP="00E03DB7"/>
    <w:p w:rsidR="006C1738" w:rsidRDefault="006C1738" w:rsidP="006C1738">
      <w:pPr>
        <w:rPr>
          <w:rFonts w:ascii="Times New Roman" w:hAnsi="Times New Roman" w:cs="Times New Roman"/>
          <w:b/>
          <w:color w:val="000000"/>
          <w:sz w:val="24"/>
          <w:szCs w:val="24"/>
        </w:rPr>
      </w:pP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6C1738" w:rsidRDefault="006C1738" w:rsidP="006C1738">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6C1738" w:rsidRPr="003B3D9C" w:rsidRDefault="006C1738" w:rsidP="006C1738">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6C1738" w:rsidRPr="003B3D9C" w:rsidRDefault="006C1738" w:rsidP="006C1738">
      <w:pPr>
        <w:pStyle w:val="ListParagraph"/>
        <w:numPr>
          <w:ilvl w:val="0"/>
          <w:numId w:val="33"/>
        </w:numPr>
        <w:spacing w:after="0" w:line="240" w:lineRule="auto"/>
        <w:jc w:val="both"/>
        <w:rPr>
          <w:rFonts w:ascii="Times New Roman" w:hAnsi="Times New Roman" w:cs="Times New Roman"/>
          <w:color w:val="000000"/>
          <w:sz w:val="24"/>
          <w:szCs w:val="24"/>
        </w:rPr>
      </w:pPr>
      <w:proofErr w:type="spellStart"/>
      <w:r w:rsidRPr="003B3D9C">
        <w:rPr>
          <w:rFonts w:ascii="Times New Roman" w:hAnsi="Times New Roman" w:cs="Times New Roman"/>
          <w:color w:val="000000"/>
          <w:sz w:val="24"/>
          <w:szCs w:val="24"/>
        </w:rPr>
        <w:t>were</w:t>
      </w:r>
      <w:proofErr w:type="spellEnd"/>
      <w:r w:rsidRPr="003B3D9C">
        <w:rPr>
          <w:rFonts w:ascii="Times New Roman" w:hAnsi="Times New Roman" w:cs="Times New Roman"/>
          <w:color w:val="000000"/>
          <w:sz w:val="24"/>
          <w:szCs w:val="24"/>
        </w:rPr>
        <w:t xml:space="preserve"> not being interpreted uniformly by all practitioners; </w:t>
      </w:r>
    </w:p>
    <w:p w:rsidR="006C1738" w:rsidRPr="003B3D9C" w:rsidRDefault="006C1738" w:rsidP="006C1738">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6C1738" w:rsidRPr="003B3D9C" w:rsidRDefault="006C1738" w:rsidP="006C1738">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6C1738" w:rsidRDefault="006C1738" w:rsidP="006C1738">
      <w:pPr>
        <w:spacing w:after="0" w:line="240" w:lineRule="auto"/>
        <w:jc w:val="both"/>
        <w:rPr>
          <w:rFonts w:ascii="Times New Roman" w:hAnsi="Times New Roman" w:cs="Times New Roman"/>
          <w:color w:val="000000"/>
          <w:sz w:val="24"/>
          <w:szCs w:val="24"/>
        </w:rPr>
      </w:pPr>
    </w:p>
    <w:p w:rsidR="006C1738" w:rsidRPr="003B3D9C" w:rsidRDefault="006C1738" w:rsidP="006C1738">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6C1738" w:rsidRDefault="006C1738" w:rsidP="006C1738">
      <w:pPr>
        <w:spacing w:after="0" w:line="240" w:lineRule="auto"/>
        <w:jc w:val="both"/>
        <w:rPr>
          <w:rFonts w:ascii="Times New Roman" w:hAnsi="Times New Roman" w:cs="Times New Roman"/>
          <w:color w:val="000000"/>
          <w:sz w:val="24"/>
          <w:szCs w:val="24"/>
        </w:rPr>
      </w:pPr>
    </w:p>
    <w:p w:rsidR="006C1738" w:rsidRDefault="006C1738" w:rsidP="006C1738">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The RBI vide their letter </w:t>
      </w:r>
      <w:proofErr w:type="spellStart"/>
      <w:r w:rsidRPr="003B3D9C">
        <w:rPr>
          <w:rFonts w:ascii="Times New Roman" w:hAnsi="Times New Roman" w:cs="Times New Roman"/>
          <w:color w:val="000000"/>
          <w:sz w:val="24"/>
          <w:szCs w:val="24"/>
        </w:rPr>
        <w:t>FED.CO.Trade</w:t>
      </w:r>
      <w:proofErr w:type="spellEnd"/>
      <w:r w:rsidRPr="003B3D9C">
        <w:rPr>
          <w:rFonts w:ascii="Times New Roman" w:hAnsi="Times New Roman" w:cs="Times New Roman"/>
          <w:color w:val="000000"/>
          <w:sz w:val="24"/>
          <w:szCs w:val="24"/>
        </w:rPr>
        <w:t>/1875/05.31.077/2020-21 dated March 05, 2021 have clarified these terms as used in various guidelines, which is enclosed herewith for your record and compliance.</w:t>
      </w:r>
    </w:p>
    <w:p w:rsidR="006C1738" w:rsidRDefault="006C1738" w:rsidP="006C1738">
      <w:pPr>
        <w:spacing w:after="0" w:line="240" w:lineRule="auto"/>
        <w:jc w:val="both"/>
        <w:rPr>
          <w:rFonts w:ascii="Times New Roman" w:hAnsi="Times New Roman" w:cs="Times New Roman"/>
          <w:color w:val="000000"/>
          <w:sz w:val="24"/>
          <w:szCs w:val="24"/>
        </w:rPr>
      </w:pPr>
    </w:p>
    <w:p w:rsidR="006C1738" w:rsidRDefault="006C1738" w:rsidP="006C1738">
      <w:pPr>
        <w:rPr>
          <w:rStyle w:val="Hyperlink"/>
          <w:rFonts w:ascii="Times New Roman" w:hAnsi="Times New Roman" w:cs="Times New Roman"/>
          <w:sz w:val="24"/>
          <w:szCs w:val="24"/>
        </w:rPr>
      </w:pPr>
      <w:r w:rsidRPr="003B3D9C">
        <w:rPr>
          <w:rFonts w:ascii="Times New Roman" w:hAnsi="Times New Roman" w:cs="Times New Roman"/>
          <w:color w:val="000000"/>
          <w:sz w:val="24"/>
          <w:szCs w:val="24"/>
        </w:rPr>
        <w:t>Annexure to FEDAI Circular SPL-01/</w:t>
      </w:r>
      <w:proofErr w:type="spellStart"/>
      <w:r w:rsidRPr="003B3D9C">
        <w:rPr>
          <w:rFonts w:ascii="Times New Roman" w:hAnsi="Times New Roman" w:cs="Times New Roman"/>
          <w:color w:val="000000"/>
          <w:sz w:val="24"/>
          <w:szCs w:val="24"/>
        </w:rPr>
        <w:t>Exp</w:t>
      </w:r>
      <w:proofErr w:type="spellEnd"/>
      <w:r w:rsidRPr="003B3D9C">
        <w:rPr>
          <w:rFonts w:ascii="Times New Roman" w:hAnsi="Times New Roman" w:cs="Times New Roman"/>
          <w:color w:val="000000"/>
          <w:sz w:val="24"/>
          <w:szCs w:val="24"/>
        </w:rPr>
        <w:t xml:space="preserve">-imp/2021 dated 09th March2021: </w:t>
      </w:r>
      <w:r>
        <w:rPr>
          <w:rFonts w:ascii="Times New Roman" w:hAnsi="Times New Roman" w:cs="Times New Roman"/>
          <w:color w:val="000000"/>
          <w:sz w:val="24"/>
          <w:szCs w:val="24"/>
        </w:rPr>
        <w:t xml:space="preserve"> </w:t>
      </w:r>
      <w:hyperlink r:id="rId116" w:history="1">
        <w:r w:rsidRPr="003A2F80">
          <w:rPr>
            <w:rStyle w:val="Hyperlink"/>
            <w:rFonts w:ascii="Times New Roman" w:hAnsi="Times New Roman" w:cs="Times New Roman"/>
            <w:sz w:val="24"/>
            <w:szCs w:val="24"/>
          </w:rPr>
          <w:t>https://www.fedai.org.in/DocumentUploadFiles/SpecialCircular/SPL-01.2021dt.09March2021.pdf</w:t>
        </w:r>
      </w:hyperlink>
    </w:p>
    <w:p w:rsidR="006C1738" w:rsidRDefault="006C1738" w:rsidP="006C1738">
      <w:pPr>
        <w:rPr>
          <w:rStyle w:val="Hyperlink"/>
          <w:rFonts w:ascii="Times New Roman" w:hAnsi="Times New Roman" w:cs="Times New Roman"/>
          <w:sz w:val="24"/>
          <w:szCs w:val="24"/>
        </w:rPr>
      </w:pPr>
    </w:p>
    <w:p w:rsidR="006C1738" w:rsidRPr="00804175" w:rsidRDefault="006C1738" w:rsidP="006C1738">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I. </w:t>
      </w:r>
      <w:proofErr w:type="spellStart"/>
      <w:r>
        <w:rPr>
          <w:b/>
          <w:color w:val="000000"/>
        </w:rPr>
        <w:t>Rs</w:t>
      </w:r>
      <w:proofErr w:type="spellEnd"/>
      <w:r>
        <w:rPr>
          <w:b/>
          <w:color w:val="000000"/>
        </w:rPr>
        <w:t xml:space="preserve">. </w:t>
      </w:r>
      <w:r w:rsidRPr="00E73A66">
        <w:rPr>
          <w:b/>
          <w:color w:val="000000"/>
        </w:rPr>
        <w:t xml:space="preserve">1.1 Lakh Cr Loan Guarantee Scheme for COVID Affected Sectors </w:t>
      </w:r>
    </w:p>
    <w:p w:rsidR="006C1738" w:rsidRPr="00E73A66" w:rsidRDefault="006C1738" w:rsidP="006C1738">
      <w:pPr>
        <w:pStyle w:val="NormalWeb"/>
        <w:shd w:val="clear" w:color="auto" w:fill="FFFFFF"/>
        <w:spacing w:before="0" w:beforeAutospacing="0" w:after="0" w:afterAutospacing="0"/>
        <w:jc w:val="both"/>
        <w:rPr>
          <w:b/>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sidRPr="00E73A66">
        <w:rPr>
          <w:b/>
          <w:color w:val="000000"/>
        </w:rPr>
        <w:t xml:space="preserve">Health Sector: </w:t>
      </w:r>
      <w:proofErr w:type="spellStart"/>
      <w:r w:rsidRPr="00E73A66">
        <w:rPr>
          <w:b/>
          <w:color w:val="000000"/>
        </w:rPr>
        <w:t>Rs</w:t>
      </w:r>
      <w:proofErr w:type="spellEnd"/>
      <w:r w:rsidRPr="00E73A66">
        <w:rPr>
          <w:b/>
          <w:color w:val="000000"/>
        </w:rPr>
        <w:t>. 50,000 crore</w:t>
      </w:r>
    </w:p>
    <w:p w:rsidR="006C1738" w:rsidRPr="00E73A66" w:rsidRDefault="006C1738" w:rsidP="006C1738">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6C1738" w:rsidRPr="00E73A66" w:rsidRDefault="006C1738" w:rsidP="006C1738">
      <w:pPr>
        <w:pStyle w:val="NormalWeb"/>
        <w:numPr>
          <w:ilvl w:val="0"/>
          <w:numId w:val="34"/>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6C1738" w:rsidRPr="00E73A66" w:rsidRDefault="006C1738" w:rsidP="006C1738">
      <w:pPr>
        <w:pStyle w:val="NormalWeb"/>
        <w:numPr>
          <w:ilvl w:val="0"/>
          <w:numId w:val="34"/>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6C1738" w:rsidRPr="00E73A66" w:rsidRDefault="006C1738" w:rsidP="006C1738">
      <w:pPr>
        <w:pStyle w:val="NormalWeb"/>
        <w:numPr>
          <w:ilvl w:val="0"/>
          <w:numId w:val="34"/>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6C1738" w:rsidRPr="00E73A66" w:rsidRDefault="006C1738" w:rsidP="006C1738">
      <w:pPr>
        <w:pStyle w:val="NormalWeb"/>
        <w:numPr>
          <w:ilvl w:val="0"/>
          <w:numId w:val="34"/>
        </w:numPr>
        <w:shd w:val="clear" w:color="auto" w:fill="FFFFFF"/>
        <w:spacing w:before="0" w:beforeAutospacing="0" w:after="0" w:afterAutospacing="0"/>
        <w:jc w:val="both"/>
        <w:rPr>
          <w:color w:val="000000"/>
        </w:rPr>
      </w:pPr>
      <w:r w:rsidRPr="00E73A66">
        <w:rPr>
          <w:color w:val="000000"/>
        </w:rPr>
        <w:t xml:space="preserve">Maximum loan: </w:t>
      </w:r>
      <w:proofErr w:type="spellStart"/>
      <w:r w:rsidRPr="00E73A66">
        <w:rPr>
          <w:color w:val="000000"/>
        </w:rPr>
        <w:t>Rs</w:t>
      </w:r>
      <w:proofErr w:type="spellEnd"/>
      <w:r w:rsidRPr="00E73A66">
        <w:rPr>
          <w:color w:val="000000"/>
        </w:rPr>
        <w:t xml:space="preserve">. 100 </w:t>
      </w:r>
      <w:proofErr w:type="gramStart"/>
      <w:r w:rsidRPr="00E73A66">
        <w:rPr>
          <w:color w:val="000000"/>
        </w:rPr>
        <w:t>crore</w:t>
      </w:r>
      <w:proofErr w:type="gramEnd"/>
      <w:r w:rsidRPr="00E73A66">
        <w:rPr>
          <w:color w:val="000000"/>
        </w:rPr>
        <w:t>; Guarantee duration: Up to 3 years</w:t>
      </w:r>
    </w:p>
    <w:p w:rsidR="006C1738" w:rsidRPr="00E73A66" w:rsidRDefault="006C1738" w:rsidP="006C1738">
      <w:pPr>
        <w:pStyle w:val="NormalWeb"/>
        <w:numPr>
          <w:ilvl w:val="0"/>
          <w:numId w:val="34"/>
        </w:numPr>
        <w:shd w:val="clear" w:color="auto" w:fill="FFFFFF"/>
        <w:spacing w:before="0" w:beforeAutospacing="0" w:after="0" w:afterAutospacing="0"/>
        <w:jc w:val="both"/>
        <w:rPr>
          <w:color w:val="000000"/>
        </w:rPr>
      </w:pPr>
      <w:r w:rsidRPr="00E73A66">
        <w:rPr>
          <w:color w:val="000000"/>
        </w:rPr>
        <w:t xml:space="preserve">Interest rate capped at 7.95% </w:t>
      </w:r>
    </w:p>
    <w:p w:rsidR="006C1738" w:rsidRPr="00E73A66" w:rsidRDefault="006C1738" w:rsidP="006C1738">
      <w:pPr>
        <w:pStyle w:val="NormalWeb"/>
        <w:numPr>
          <w:ilvl w:val="0"/>
          <w:numId w:val="34"/>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6C1738" w:rsidRPr="00E73A66" w:rsidRDefault="006C1738" w:rsidP="006C1738">
      <w:pPr>
        <w:pStyle w:val="NormalWeb"/>
        <w:shd w:val="clear" w:color="auto" w:fill="FFFFFF"/>
        <w:spacing w:before="0" w:beforeAutospacing="0" w:after="0" w:afterAutospacing="0"/>
        <w:jc w:val="both"/>
        <w:rPr>
          <w:b/>
          <w:color w:val="000000"/>
        </w:rPr>
      </w:pPr>
      <w:r w:rsidRPr="00E73A66">
        <w:rPr>
          <w:b/>
          <w:color w:val="000000"/>
        </w:rPr>
        <w:t xml:space="preserve">Other Sectors: </w:t>
      </w:r>
      <w:proofErr w:type="spellStart"/>
      <w:r w:rsidRPr="00E73A66">
        <w:rPr>
          <w:b/>
          <w:color w:val="000000"/>
        </w:rPr>
        <w:t>Rs</w:t>
      </w:r>
      <w:proofErr w:type="spellEnd"/>
      <w:r w:rsidRPr="00E73A66">
        <w:rPr>
          <w:b/>
          <w:color w:val="000000"/>
        </w:rPr>
        <w:t>. 60,000 crore</w:t>
      </w:r>
    </w:p>
    <w:p w:rsidR="006C1738" w:rsidRPr="00E73A66" w:rsidRDefault="006C1738" w:rsidP="006C1738">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Interest rate capped at 8.25% p.a. </w:t>
      </w:r>
    </w:p>
    <w:p w:rsidR="006C1738" w:rsidRPr="00E73A66" w:rsidRDefault="006C1738" w:rsidP="006C1738">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6C1738" w:rsidRPr="00E73A66" w:rsidRDefault="006C1738" w:rsidP="006C1738">
      <w:pPr>
        <w:pStyle w:val="NormalWeb"/>
        <w:shd w:val="clear" w:color="auto" w:fill="FFFFFF"/>
        <w:spacing w:before="0" w:beforeAutospacing="0" w:after="0" w:afterAutospacing="0"/>
        <w:jc w:val="both"/>
        <w:rPr>
          <w:color w:val="000000"/>
        </w:rPr>
      </w:pPr>
      <w:r w:rsidRPr="00E73A66">
        <w:rPr>
          <w:color w:val="000000"/>
        </w:rPr>
        <w:lastRenderedPageBreak/>
        <w:t>Normal interest without guarantee cover is 10-11%</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6C1738" w:rsidRPr="00E73A66" w:rsidRDefault="006C1738" w:rsidP="006C1738">
      <w:pPr>
        <w:pStyle w:val="NormalWeb"/>
        <w:numPr>
          <w:ilvl w:val="0"/>
          <w:numId w:val="36"/>
        </w:numPr>
        <w:shd w:val="clear" w:color="auto" w:fill="FFFFFF"/>
        <w:spacing w:before="0" w:beforeAutospacing="0" w:after="0" w:afterAutospacing="0"/>
        <w:jc w:val="both"/>
        <w:rPr>
          <w:color w:val="000000"/>
        </w:rPr>
      </w:pPr>
      <w:r w:rsidRPr="00E73A66">
        <w:rPr>
          <w:color w:val="000000"/>
        </w:rPr>
        <w:t xml:space="preserve">Launched as part of </w:t>
      </w:r>
      <w:proofErr w:type="spellStart"/>
      <w:r w:rsidRPr="00E73A66">
        <w:rPr>
          <w:color w:val="000000"/>
        </w:rPr>
        <w:t>Atma</w:t>
      </w:r>
      <w:proofErr w:type="spellEnd"/>
      <w:r w:rsidRPr="00E73A66">
        <w:rPr>
          <w:color w:val="000000"/>
        </w:rPr>
        <w:t xml:space="preserve"> </w:t>
      </w:r>
      <w:proofErr w:type="spellStart"/>
      <w:r w:rsidRPr="00E73A66">
        <w:rPr>
          <w:color w:val="000000"/>
        </w:rPr>
        <w:t>Nirbhar</w:t>
      </w:r>
      <w:proofErr w:type="spellEnd"/>
      <w:r w:rsidRPr="00E73A66">
        <w:rPr>
          <w:color w:val="000000"/>
        </w:rPr>
        <w:t xml:space="preserve"> Bharat Package in May, 2020.</w:t>
      </w:r>
    </w:p>
    <w:p w:rsidR="006C1738" w:rsidRPr="00E73A66" w:rsidRDefault="006C1738" w:rsidP="006C1738">
      <w:pPr>
        <w:pStyle w:val="NormalWeb"/>
        <w:numPr>
          <w:ilvl w:val="0"/>
          <w:numId w:val="36"/>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6C1738" w:rsidRPr="00E73A66" w:rsidRDefault="006C1738" w:rsidP="006C1738">
      <w:pPr>
        <w:pStyle w:val="NormalWeb"/>
        <w:numPr>
          <w:ilvl w:val="0"/>
          <w:numId w:val="36"/>
        </w:numPr>
        <w:shd w:val="clear" w:color="auto" w:fill="FFFFFF"/>
        <w:spacing w:before="0" w:beforeAutospacing="0" w:after="0" w:afterAutospacing="0"/>
        <w:jc w:val="both"/>
        <w:rPr>
          <w:color w:val="000000"/>
        </w:rPr>
      </w:pPr>
      <w:r w:rsidRPr="00E73A66">
        <w:rPr>
          <w:color w:val="000000"/>
        </w:rPr>
        <w:t xml:space="preserve">Contact intensive sectors already covered and shall be continued. </w:t>
      </w:r>
      <w:proofErr w:type="spellStart"/>
      <w:r w:rsidRPr="00E73A66">
        <w:rPr>
          <w:color w:val="000000"/>
        </w:rPr>
        <w:t>Rs</w:t>
      </w:r>
      <w:proofErr w:type="spellEnd"/>
      <w:r w:rsidRPr="00E73A66">
        <w:rPr>
          <w:color w:val="000000"/>
        </w:rPr>
        <w:t xml:space="preserve"> 4,000 crore given to these sectors through this window so far</w:t>
      </w:r>
    </w:p>
    <w:p w:rsidR="006C1738" w:rsidRPr="00E73A66" w:rsidRDefault="006C1738" w:rsidP="006C1738">
      <w:pPr>
        <w:pStyle w:val="NormalWeb"/>
        <w:numPr>
          <w:ilvl w:val="0"/>
          <w:numId w:val="36"/>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6C1738" w:rsidRPr="00E73A66" w:rsidRDefault="006C1738" w:rsidP="006C1738">
      <w:pPr>
        <w:pStyle w:val="NormalWeb"/>
        <w:numPr>
          <w:ilvl w:val="0"/>
          <w:numId w:val="36"/>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6C1738" w:rsidRPr="00E73A66" w:rsidRDefault="006C1738" w:rsidP="006C1738">
      <w:pPr>
        <w:pStyle w:val="NormalWeb"/>
        <w:numPr>
          <w:ilvl w:val="0"/>
          <w:numId w:val="36"/>
        </w:numPr>
        <w:shd w:val="clear" w:color="auto" w:fill="FFFFFF"/>
        <w:spacing w:before="0" w:beforeAutospacing="0" w:after="0" w:afterAutospacing="0"/>
        <w:jc w:val="both"/>
        <w:rPr>
          <w:color w:val="000000"/>
        </w:rPr>
      </w:pPr>
      <w:r w:rsidRPr="00E73A66">
        <w:rPr>
          <w:color w:val="000000"/>
        </w:rPr>
        <w:t xml:space="preserve">Overall cap of admissible guarantee to be raised from </w:t>
      </w:r>
      <w:proofErr w:type="spellStart"/>
      <w:r w:rsidRPr="00E73A66">
        <w:rPr>
          <w:color w:val="000000"/>
        </w:rPr>
        <w:t>Rs</w:t>
      </w:r>
      <w:proofErr w:type="spellEnd"/>
      <w:r w:rsidRPr="00E73A66">
        <w:rPr>
          <w:color w:val="000000"/>
        </w:rPr>
        <w:t xml:space="preserve">. 3 lakh crore to </w:t>
      </w:r>
      <w:proofErr w:type="spellStart"/>
      <w:r w:rsidRPr="00E73A66">
        <w:rPr>
          <w:color w:val="000000"/>
        </w:rPr>
        <w:t>Rs</w:t>
      </w:r>
      <w:proofErr w:type="spellEnd"/>
      <w:r w:rsidRPr="00E73A66">
        <w:rPr>
          <w:color w:val="000000"/>
        </w:rPr>
        <w:t>. 4.5 lakh crore</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 xml:space="preserve">to </w:t>
      </w:r>
      <w:proofErr w:type="spellStart"/>
      <w:r w:rsidRPr="00E73A66">
        <w:rPr>
          <w:color w:val="000000"/>
        </w:rPr>
        <w:t>Rs</w:t>
      </w:r>
      <w:proofErr w:type="spellEnd"/>
      <w:r w:rsidRPr="00E73A66">
        <w:rPr>
          <w:color w:val="000000"/>
        </w:rPr>
        <w:t xml:space="preserve"> 1.25 lakh to approximately 25 lakh small borrowers</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Focus on new lending, not repayment of old loans</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 xml:space="preserve">Guarantee cover for funding provided by MLIs to MFIs/NBFC-MFIs till March 31, 2022 or till guarantees for an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7,500 </w:t>
      </w:r>
      <w:proofErr w:type="gramStart"/>
      <w:r w:rsidRPr="00E73A66">
        <w:rPr>
          <w:color w:val="000000"/>
        </w:rPr>
        <w:t>crore</w:t>
      </w:r>
      <w:proofErr w:type="gramEnd"/>
      <w:r w:rsidRPr="00E73A66">
        <w:rPr>
          <w:color w:val="000000"/>
        </w:rPr>
        <w:t xml:space="preserve"> are issued, whichever is earlier.</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6C1738" w:rsidRPr="00E73A66" w:rsidRDefault="006C1738" w:rsidP="006C1738">
      <w:pPr>
        <w:pStyle w:val="NormalWeb"/>
        <w:numPr>
          <w:ilvl w:val="0"/>
          <w:numId w:val="37"/>
        </w:numPr>
        <w:shd w:val="clear" w:color="auto" w:fill="FFFFFF"/>
        <w:spacing w:before="0" w:beforeAutospacing="0" w:after="0" w:afterAutospacing="0"/>
        <w:jc w:val="both"/>
        <w:rPr>
          <w:color w:val="000000"/>
        </w:rPr>
      </w:pPr>
      <w:r w:rsidRPr="00E73A66">
        <w:rPr>
          <w:color w:val="000000"/>
        </w:rPr>
        <w:t>No guarantee fee to be charged by NCGTC</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6C1738" w:rsidRPr="00E73A66" w:rsidRDefault="006C1738" w:rsidP="006C1738">
      <w:pPr>
        <w:pStyle w:val="NormalWeb"/>
        <w:numPr>
          <w:ilvl w:val="0"/>
          <w:numId w:val="38"/>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6C1738" w:rsidRPr="00E73A66" w:rsidRDefault="006C1738" w:rsidP="006C1738">
      <w:pPr>
        <w:pStyle w:val="NormalWeb"/>
        <w:numPr>
          <w:ilvl w:val="0"/>
          <w:numId w:val="38"/>
        </w:numPr>
        <w:shd w:val="clear" w:color="auto" w:fill="FFFFFF"/>
        <w:spacing w:before="0" w:beforeAutospacing="0" w:after="0" w:afterAutospacing="0"/>
        <w:jc w:val="both"/>
        <w:rPr>
          <w:color w:val="000000"/>
        </w:rPr>
      </w:pPr>
      <w:r w:rsidRPr="00E73A66">
        <w:rPr>
          <w:color w:val="000000"/>
        </w:rPr>
        <w:t>The scheme will cover:</w:t>
      </w:r>
    </w:p>
    <w:p w:rsidR="006C1738" w:rsidRPr="00E73A66" w:rsidRDefault="006C1738" w:rsidP="006C1738">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6C1738" w:rsidRPr="00E73A66" w:rsidRDefault="006C1738" w:rsidP="006C1738">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6C1738" w:rsidRPr="00E73A66" w:rsidRDefault="006C1738" w:rsidP="006C1738">
      <w:pPr>
        <w:pStyle w:val="NormalWeb"/>
        <w:numPr>
          <w:ilvl w:val="0"/>
          <w:numId w:val="38"/>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6C1738" w:rsidRPr="00E73A66" w:rsidRDefault="006C1738" w:rsidP="006C1738">
      <w:pPr>
        <w:pStyle w:val="NormalWeb"/>
        <w:numPr>
          <w:ilvl w:val="0"/>
          <w:numId w:val="39"/>
        </w:numPr>
        <w:shd w:val="clear" w:color="auto" w:fill="FFFFFF"/>
        <w:spacing w:before="0" w:beforeAutospacing="0" w:after="0" w:afterAutospacing="0"/>
        <w:jc w:val="both"/>
        <w:rPr>
          <w:color w:val="000000"/>
        </w:rPr>
      </w:pPr>
      <w:proofErr w:type="spellStart"/>
      <w:r>
        <w:rPr>
          <w:color w:val="000000"/>
        </w:rPr>
        <w:t>Rs</w:t>
      </w:r>
      <w:proofErr w:type="spellEnd"/>
      <w:r>
        <w:rPr>
          <w:color w:val="000000"/>
        </w:rPr>
        <w:t>. 10,00,000 for TTS (</w:t>
      </w:r>
      <w:r w:rsidRPr="00E73A66">
        <w:rPr>
          <w:color w:val="000000"/>
        </w:rPr>
        <w:t>per agency)</w:t>
      </w:r>
    </w:p>
    <w:p w:rsidR="006C1738" w:rsidRPr="00E73A66" w:rsidRDefault="006C1738" w:rsidP="006C1738">
      <w:pPr>
        <w:pStyle w:val="NormalWeb"/>
        <w:numPr>
          <w:ilvl w:val="0"/>
          <w:numId w:val="39"/>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1,00,000 for tourist guides licenced at Regional or State level</w:t>
      </w:r>
    </w:p>
    <w:p w:rsidR="006C1738" w:rsidRPr="00E73A66" w:rsidRDefault="006C1738" w:rsidP="006C1738">
      <w:pPr>
        <w:pStyle w:val="NormalWeb"/>
        <w:numPr>
          <w:ilvl w:val="0"/>
          <w:numId w:val="38"/>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6C1738" w:rsidRPr="00E73A66" w:rsidRDefault="006C1738" w:rsidP="006C1738">
      <w:pPr>
        <w:pStyle w:val="NormalWeb"/>
        <w:numPr>
          <w:ilvl w:val="0"/>
          <w:numId w:val="38"/>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lastRenderedPageBreak/>
        <w:t xml:space="preserve">V. </w:t>
      </w:r>
      <w:r w:rsidRPr="00E73A66">
        <w:rPr>
          <w:b/>
          <w:color w:val="000000"/>
        </w:rPr>
        <w:t>Free Tourist Visa to 5 Lakh Tourists</w:t>
      </w:r>
    </w:p>
    <w:p w:rsidR="006C1738" w:rsidRPr="00E73A66" w:rsidRDefault="006C1738" w:rsidP="006C1738">
      <w:pPr>
        <w:pStyle w:val="NormalWeb"/>
        <w:numPr>
          <w:ilvl w:val="0"/>
          <w:numId w:val="40"/>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6C1738" w:rsidRPr="00E73A66" w:rsidRDefault="006C1738" w:rsidP="006C1738">
      <w:pPr>
        <w:pStyle w:val="NormalWeb"/>
        <w:numPr>
          <w:ilvl w:val="0"/>
          <w:numId w:val="40"/>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w:t>
      </w:r>
      <w:proofErr w:type="spellStart"/>
      <w:r w:rsidRPr="00E73A66">
        <w:rPr>
          <w:color w:val="000000"/>
        </w:rPr>
        <w:t>Rs</w:t>
      </w:r>
      <w:proofErr w:type="spellEnd"/>
      <w:r w:rsidRPr="00E73A66">
        <w:rPr>
          <w:color w:val="000000"/>
        </w:rPr>
        <w:t xml:space="preserve"> 2400).</w:t>
      </w:r>
    </w:p>
    <w:p w:rsidR="006C1738" w:rsidRPr="00E73A66" w:rsidRDefault="006C1738" w:rsidP="006C1738">
      <w:pPr>
        <w:pStyle w:val="NormalWeb"/>
        <w:numPr>
          <w:ilvl w:val="0"/>
          <w:numId w:val="40"/>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6C1738" w:rsidRPr="00E73A66" w:rsidRDefault="006C1738" w:rsidP="006C1738">
      <w:pPr>
        <w:pStyle w:val="NormalWeb"/>
        <w:numPr>
          <w:ilvl w:val="0"/>
          <w:numId w:val="40"/>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6C1738" w:rsidRPr="00E73A66" w:rsidRDefault="006C1738" w:rsidP="006C1738">
      <w:pPr>
        <w:pStyle w:val="NormalWeb"/>
        <w:numPr>
          <w:ilvl w:val="0"/>
          <w:numId w:val="40"/>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6C1738" w:rsidRPr="00E73A66" w:rsidRDefault="006C1738" w:rsidP="006C1738">
      <w:pPr>
        <w:pStyle w:val="NormalWeb"/>
        <w:numPr>
          <w:ilvl w:val="0"/>
          <w:numId w:val="40"/>
        </w:numPr>
        <w:shd w:val="clear" w:color="auto" w:fill="FFFFFF"/>
        <w:spacing w:before="0" w:beforeAutospacing="0" w:after="0" w:afterAutospacing="0"/>
        <w:jc w:val="both"/>
        <w:rPr>
          <w:color w:val="000000"/>
        </w:rPr>
      </w:pPr>
      <w:r w:rsidRPr="00E73A66">
        <w:rPr>
          <w:color w:val="000000"/>
        </w:rPr>
        <w:t xml:space="preserve">Total financial implications- </w:t>
      </w:r>
      <w:proofErr w:type="spellStart"/>
      <w:r w:rsidRPr="00E73A66">
        <w:rPr>
          <w:color w:val="000000"/>
        </w:rPr>
        <w:t>Rs</w:t>
      </w:r>
      <w:proofErr w:type="spellEnd"/>
      <w:r w:rsidRPr="00E73A66">
        <w:rPr>
          <w:color w:val="000000"/>
        </w:rPr>
        <w:t xml:space="preserve"> 100 Crore</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 xml:space="preserve">Extension of </w:t>
      </w:r>
      <w:proofErr w:type="spellStart"/>
      <w:r w:rsidRPr="00E73A66">
        <w:rPr>
          <w:b/>
          <w:color w:val="000000"/>
        </w:rPr>
        <w:t>Atmanirbhar</w:t>
      </w:r>
      <w:proofErr w:type="spellEnd"/>
      <w:r w:rsidRPr="00E73A66">
        <w:rPr>
          <w:b/>
          <w:color w:val="000000"/>
        </w:rPr>
        <w:t xml:space="preserve"> Bharat </w:t>
      </w:r>
      <w:proofErr w:type="spellStart"/>
      <w:r w:rsidRPr="00E73A66">
        <w:rPr>
          <w:b/>
          <w:color w:val="000000"/>
        </w:rPr>
        <w:t>Rozgar</w:t>
      </w:r>
      <w:proofErr w:type="spellEnd"/>
      <w:r w:rsidRPr="00E73A66">
        <w:rPr>
          <w:b/>
          <w:color w:val="000000"/>
        </w:rPr>
        <w:t xml:space="preserve"> </w:t>
      </w:r>
      <w:proofErr w:type="spellStart"/>
      <w:r w:rsidRPr="00E73A66">
        <w:rPr>
          <w:b/>
          <w:color w:val="000000"/>
        </w:rPr>
        <w:t>Yojana</w:t>
      </w:r>
      <w:proofErr w:type="spellEnd"/>
    </w:p>
    <w:p w:rsidR="006C1738" w:rsidRPr="00E73A66" w:rsidRDefault="006C1738" w:rsidP="006C1738">
      <w:pPr>
        <w:pStyle w:val="NormalWeb"/>
        <w:numPr>
          <w:ilvl w:val="0"/>
          <w:numId w:val="41"/>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6C1738" w:rsidRPr="00E73A66" w:rsidRDefault="006C1738" w:rsidP="006C1738">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Approved outlay </w:t>
      </w:r>
      <w:proofErr w:type="spellStart"/>
      <w:r w:rsidRPr="00E73A66">
        <w:rPr>
          <w:color w:val="000000"/>
        </w:rPr>
        <w:t>Rs</w:t>
      </w:r>
      <w:proofErr w:type="spellEnd"/>
      <w:r w:rsidRPr="00E73A66">
        <w:rPr>
          <w:color w:val="000000"/>
        </w:rPr>
        <w:t xml:space="preserve">. 22,810 </w:t>
      </w:r>
      <w:proofErr w:type="gramStart"/>
      <w:r w:rsidRPr="00E73A66">
        <w:rPr>
          <w:color w:val="000000"/>
        </w:rPr>
        <w:t>crore</w:t>
      </w:r>
      <w:proofErr w:type="gramEnd"/>
      <w:r w:rsidRPr="00E73A66">
        <w:rPr>
          <w:color w:val="000000"/>
        </w:rPr>
        <w:t xml:space="preserve"> for 58.50 lakh estimated beneficiaries. Last date for registration is 30.06.2021.</w:t>
      </w:r>
    </w:p>
    <w:p w:rsidR="006C1738" w:rsidRPr="00E73A66" w:rsidRDefault="006C1738" w:rsidP="006C1738">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Subsidy provided for two years from registration for new employees drawing monthly wages less than </w:t>
      </w:r>
      <w:proofErr w:type="spellStart"/>
      <w:r w:rsidRPr="00E73A66">
        <w:rPr>
          <w:color w:val="000000"/>
        </w:rPr>
        <w:t>Rs</w:t>
      </w:r>
      <w:proofErr w:type="spellEnd"/>
      <w:r w:rsidRPr="00E73A66">
        <w:rPr>
          <w:color w:val="000000"/>
        </w:rPr>
        <w:t>. 15000 for:</w:t>
      </w:r>
    </w:p>
    <w:p w:rsidR="006C1738" w:rsidRPr="00E73A66" w:rsidRDefault="006C1738" w:rsidP="006C1738">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w:t>
      </w:r>
      <w:proofErr w:type="spellStart"/>
      <w:r w:rsidRPr="00E73A66">
        <w:rPr>
          <w:color w:val="000000"/>
        </w:rPr>
        <w:t>upto</w:t>
      </w:r>
      <w:proofErr w:type="spellEnd"/>
      <w:r w:rsidRPr="00E73A66">
        <w:rPr>
          <w:color w:val="000000"/>
        </w:rPr>
        <w:t xml:space="preserve"> 1000 employees.</w:t>
      </w:r>
    </w:p>
    <w:p w:rsidR="006C1738" w:rsidRPr="00E73A66" w:rsidRDefault="006C1738" w:rsidP="006C1738">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6C1738" w:rsidRPr="00E73A66" w:rsidRDefault="006C1738" w:rsidP="006C1738">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Benefit of </w:t>
      </w:r>
      <w:proofErr w:type="spellStart"/>
      <w:r w:rsidRPr="00E73A66">
        <w:rPr>
          <w:color w:val="000000"/>
        </w:rPr>
        <w:t>Rs</w:t>
      </w:r>
      <w:proofErr w:type="spellEnd"/>
      <w:r w:rsidRPr="00E73A66">
        <w:rPr>
          <w:color w:val="000000"/>
        </w:rPr>
        <w:t>. 902 Cr given to 21.42 lakh beneficiaries of 79,577 establishments till 18.06.2021</w:t>
      </w:r>
    </w:p>
    <w:p w:rsidR="006C1738" w:rsidRPr="00E73A66" w:rsidRDefault="006C1738" w:rsidP="006C1738">
      <w:pPr>
        <w:pStyle w:val="NormalWeb"/>
        <w:numPr>
          <w:ilvl w:val="0"/>
          <w:numId w:val="41"/>
        </w:numPr>
        <w:shd w:val="clear" w:color="auto" w:fill="FFFFFF"/>
        <w:spacing w:before="0" w:beforeAutospacing="0" w:after="0" w:afterAutospacing="0"/>
        <w:jc w:val="both"/>
        <w:rPr>
          <w:color w:val="000000"/>
        </w:rPr>
      </w:pPr>
      <w:r w:rsidRPr="00E73A66">
        <w:rPr>
          <w:color w:val="000000"/>
        </w:rPr>
        <w:t>Scheme extended from 30.6.2021 to 31.03.2022</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6C1738" w:rsidRPr="00E73A66" w:rsidRDefault="006C1738" w:rsidP="006C1738">
      <w:pPr>
        <w:pStyle w:val="NormalWeb"/>
        <w:shd w:val="clear" w:color="auto" w:fill="FFFFFF"/>
        <w:spacing w:before="0" w:beforeAutospacing="0" w:after="0" w:afterAutospacing="0"/>
        <w:jc w:val="both"/>
        <w:rPr>
          <w:b/>
          <w:color w:val="000000"/>
        </w:rPr>
      </w:pPr>
      <w:r w:rsidRPr="00E73A66">
        <w:rPr>
          <w:b/>
          <w:color w:val="000000"/>
        </w:rPr>
        <w:t>(Announced Earlier)</w:t>
      </w:r>
    </w:p>
    <w:p w:rsidR="006C1738" w:rsidRPr="00E73A66" w:rsidRDefault="006C1738" w:rsidP="006C1738">
      <w:pPr>
        <w:pStyle w:val="NormalWeb"/>
        <w:numPr>
          <w:ilvl w:val="0"/>
          <w:numId w:val="42"/>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6C1738" w:rsidRPr="00E73A66" w:rsidRDefault="006C1738" w:rsidP="006C1738">
      <w:pPr>
        <w:pStyle w:val="NormalWeb"/>
        <w:numPr>
          <w:ilvl w:val="0"/>
          <w:numId w:val="42"/>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85,413 Crore paid to farmers</w:t>
      </w:r>
    </w:p>
    <w:p w:rsidR="006C1738" w:rsidRPr="00E73A66" w:rsidRDefault="006C1738" w:rsidP="006C1738">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Existing NBS subsidy was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27,500 crores in FY 2020-21 which has been increased to </w:t>
      </w:r>
      <w:proofErr w:type="spellStart"/>
      <w:r w:rsidRPr="00E73A66">
        <w:rPr>
          <w:color w:val="000000"/>
        </w:rPr>
        <w:t>Rs</w:t>
      </w:r>
      <w:proofErr w:type="spellEnd"/>
      <w:r w:rsidRPr="00E73A66">
        <w:rPr>
          <w:color w:val="000000"/>
        </w:rPr>
        <w:t xml:space="preserve">. 42,275 </w:t>
      </w:r>
      <w:proofErr w:type="gramStart"/>
      <w:r w:rsidRPr="00E73A66">
        <w:rPr>
          <w:color w:val="000000"/>
        </w:rPr>
        <w:t>crore</w:t>
      </w:r>
      <w:proofErr w:type="gramEnd"/>
      <w:r w:rsidRPr="00E73A66">
        <w:rPr>
          <w:color w:val="000000"/>
        </w:rPr>
        <w:t xml:space="preserve"> in FY 2021-22</w:t>
      </w:r>
    </w:p>
    <w:p w:rsidR="006C1738" w:rsidRPr="00E73A66" w:rsidRDefault="006C1738" w:rsidP="006C1738">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Additional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14,775 </w:t>
      </w:r>
      <w:proofErr w:type="gramStart"/>
      <w:r w:rsidRPr="00E73A66">
        <w:rPr>
          <w:color w:val="000000"/>
        </w:rPr>
        <w:t>crore</w:t>
      </w:r>
      <w:proofErr w:type="gramEnd"/>
      <w:r w:rsidRPr="00E73A66">
        <w:rPr>
          <w:color w:val="000000"/>
        </w:rPr>
        <w:t xml:space="preserve"> to be provided. This includes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9,125 crore additional subsidy for DAP and </w:t>
      </w:r>
      <w:proofErr w:type="gramStart"/>
      <w:r w:rsidRPr="00E73A66">
        <w:rPr>
          <w:color w:val="000000"/>
        </w:rPr>
        <w:t>Rs.5,650</w:t>
      </w:r>
      <w:proofErr w:type="gramEnd"/>
      <w:r w:rsidRPr="00E73A66">
        <w:rPr>
          <w:color w:val="000000"/>
        </w:rPr>
        <w:t xml:space="preserve"> crore additional subsidy for NPK based complex fertilizer</w:t>
      </w:r>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 xml:space="preserve">Extension of Pradhan </w:t>
      </w:r>
      <w:proofErr w:type="spellStart"/>
      <w:r w:rsidRPr="00E73A66">
        <w:rPr>
          <w:b/>
          <w:color w:val="000000"/>
        </w:rPr>
        <w:t>Mantri</w:t>
      </w:r>
      <w:proofErr w:type="spellEnd"/>
      <w:r w:rsidRPr="00E73A66">
        <w:rPr>
          <w:b/>
          <w:color w:val="000000"/>
        </w:rPr>
        <w:t xml:space="preserve"> </w:t>
      </w:r>
      <w:proofErr w:type="spellStart"/>
      <w:r w:rsidRPr="00E73A66">
        <w:rPr>
          <w:b/>
          <w:color w:val="000000"/>
        </w:rPr>
        <w:t>Gareeb</w:t>
      </w:r>
      <w:proofErr w:type="spellEnd"/>
      <w:r w:rsidRPr="00E73A66">
        <w:rPr>
          <w:b/>
          <w:color w:val="000000"/>
        </w:rPr>
        <w:t xml:space="preserve"> </w:t>
      </w:r>
      <w:proofErr w:type="spellStart"/>
      <w:r w:rsidRPr="00E73A66">
        <w:rPr>
          <w:b/>
          <w:color w:val="000000"/>
        </w:rPr>
        <w:t>Kalyan</w:t>
      </w:r>
      <w:proofErr w:type="spellEnd"/>
      <w:r w:rsidRPr="00E73A66">
        <w:rPr>
          <w:b/>
          <w:color w:val="000000"/>
        </w:rPr>
        <w:t xml:space="preserve"> Anna </w:t>
      </w:r>
      <w:proofErr w:type="spellStart"/>
      <w:r w:rsidRPr="00E73A66">
        <w:rPr>
          <w:b/>
          <w:color w:val="000000"/>
        </w:rPr>
        <w:t>Yojana</w:t>
      </w:r>
      <w:proofErr w:type="spellEnd"/>
      <w:r w:rsidRPr="00E73A66">
        <w:rPr>
          <w:b/>
          <w:color w:val="000000"/>
        </w:rPr>
        <w:t xml:space="preserve"> (PMGKAY)</w:t>
      </w:r>
    </w:p>
    <w:p w:rsidR="006C1738" w:rsidRPr="00E73A66" w:rsidRDefault="006C1738" w:rsidP="006C1738">
      <w:pPr>
        <w:pStyle w:val="NormalWeb"/>
        <w:shd w:val="clear" w:color="auto" w:fill="FFFFFF"/>
        <w:spacing w:before="0" w:beforeAutospacing="0" w:after="0" w:afterAutospacing="0"/>
        <w:jc w:val="both"/>
        <w:rPr>
          <w:b/>
          <w:color w:val="000000"/>
        </w:rPr>
      </w:pPr>
      <w:r w:rsidRPr="00E73A66">
        <w:rPr>
          <w:b/>
          <w:color w:val="000000"/>
        </w:rPr>
        <w:t>(Announced Earlier)</w:t>
      </w:r>
    </w:p>
    <w:p w:rsidR="006C1738" w:rsidRPr="00E73A66" w:rsidRDefault="006C1738" w:rsidP="006C1738">
      <w:pPr>
        <w:pStyle w:val="NormalWeb"/>
        <w:numPr>
          <w:ilvl w:val="0"/>
          <w:numId w:val="43"/>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6C1738" w:rsidRPr="00E73A66" w:rsidRDefault="006C1738" w:rsidP="006C1738">
      <w:pPr>
        <w:pStyle w:val="NormalWeb"/>
        <w:numPr>
          <w:ilvl w:val="0"/>
          <w:numId w:val="43"/>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6C1738" w:rsidRPr="00E73A66" w:rsidRDefault="006C1738" w:rsidP="006C1738">
      <w:pPr>
        <w:pStyle w:val="NormalWeb"/>
        <w:numPr>
          <w:ilvl w:val="0"/>
          <w:numId w:val="43"/>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6C1738" w:rsidRPr="00E73A66" w:rsidRDefault="006C1738" w:rsidP="006C1738">
      <w:pPr>
        <w:pStyle w:val="NormalWeb"/>
        <w:numPr>
          <w:ilvl w:val="0"/>
          <w:numId w:val="43"/>
        </w:numPr>
        <w:shd w:val="clear" w:color="auto" w:fill="FFFFFF"/>
        <w:spacing w:before="0" w:beforeAutospacing="0" w:after="0" w:afterAutospacing="0"/>
        <w:jc w:val="both"/>
        <w:rPr>
          <w:color w:val="000000"/>
        </w:rPr>
      </w:pPr>
      <w:r w:rsidRPr="00E73A66">
        <w:rPr>
          <w:color w:val="000000"/>
        </w:rPr>
        <w:t xml:space="preserve">The total cost of the scheme in 2020-21 was </w:t>
      </w:r>
      <w:proofErr w:type="spellStart"/>
      <w:r w:rsidRPr="00E73A66">
        <w:rPr>
          <w:color w:val="000000"/>
        </w:rPr>
        <w:t>Rs</w:t>
      </w:r>
      <w:proofErr w:type="spellEnd"/>
      <w:r w:rsidRPr="00E73A66">
        <w:rPr>
          <w:color w:val="000000"/>
        </w:rPr>
        <w:t xml:space="preserve">. 133,972 </w:t>
      </w:r>
      <w:proofErr w:type="gramStart"/>
      <w:r w:rsidRPr="00E73A66">
        <w:rPr>
          <w:color w:val="000000"/>
        </w:rPr>
        <w:t>crore</w:t>
      </w:r>
      <w:proofErr w:type="gramEnd"/>
      <w:r w:rsidRPr="00E73A66">
        <w:rPr>
          <w:color w:val="000000"/>
        </w:rPr>
        <w:t>.</w:t>
      </w:r>
    </w:p>
    <w:p w:rsidR="006C1738" w:rsidRPr="00804175" w:rsidRDefault="006C1738" w:rsidP="006C1738">
      <w:pPr>
        <w:pStyle w:val="NormalWeb"/>
        <w:numPr>
          <w:ilvl w:val="0"/>
          <w:numId w:val="43"/>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6C1738" w:rsidRPr="00804175" w:rsidRDefault="006C1738" w:rsidP="006C1738">
      <w:pPr>
        <w:pStyle w:val="NormalWeb"/>
        <w:numPr>
          <w:ilvl w:val="0"/>
          <w:numId w:val="43"/>
        </w:numPr>
        <w:shd w:val="clear" w:color="auto" w:fill="FFFFFF"/>
        <w:spacing w:before="0" w:beforeAutospacing="0" w:after="0" w:afterAutospacing="0"/>
        <w:jc w:val="both"/>
        <w:rPr>
          <w:color w:val="000000"/>
        </w:rPr>
      </w:pPr>
      <w:r w:rsidRPr="00804175">
        <w:rPr>
          <w:color w:val="000000"/>
        </w:rPr>
        <w:lastRenderedPageBreak/>
        <w:t xml:space="preserve">5 kg of food grains will be provided free of cost to NFSA beneficiaries from May to November 2021 </w:t>
      </w:r>
    </w:p>
    <w:p w:rsidR="006C1738" w:rsidRPr="00804175" w:rsidRDefault="006C1738" w:rsidP="006C1738">
      <w:pPr>
        <w:pStyle w:val="NormalWeb"/>
        <w:numPr>
          <w:ilvl w:val="0"/>
          <w:numId w:val="43"/>
        </w:numPr>
        <w:shd w:val="clear" w:color="auto" w:fill="FFFFFF"/>
        <w:spacing w:before="0" w:beforeAutospacing="0" w:after="0" w:afterAutospacing="0"/>
        <w:jc w:val="both"/>
        <w:rPr>
          <w:color w:val="000000"/>
        </w:rPr>
      </w:pPr>
      <w:r w:rsidRPr="00804175">
        <w:rPr>
          <w:color w:val="000000"/>
        </w:rPr>
        <w:t xml:space="preserve">Estimated financial implications are </w:t>
      </w:r>
      <w:proofErr w:type="spellStart"/>
      <w:r w:rsidRPr="00804175">
        <w:rPr>
          <w:color w:val="000000"/>
        </w:rPr>
        <w:t>Rs</w:t>
      </w:r>
      <w:proofErr w:type="spellEnd"/>
      <w:r w:rsidRPr="00804175">
        <w:rPr>
          <w:color w:val="000000"/>
        </w:rPr>
        <w:t xml:space="preserve"> 93,869 </w:t>
      </w:r>
      <w:proofErr w:type="spellStart"/>
      <w:r w:rsidRPr="00804175">
        <w:rPr>
          <w:color w:val="000000"/>
        </w:rPr>
        <w:t>cr</w:t>
      </w:r>
      <w:proofErr w:type="spellEnd"/>
      <w:r w:rsidRPr="00804175">
        <w:rPr>
          <w:color w:val="000000"/>
        </w:rPr>
        <w:t xml:space="preserve">, bringing the total cost of PMGKY to </w:t>
      </w:r>
      <w:proofErr w:type="spellStart"/>
      <w:r w:rsidRPr="00804175">
        <w:rPr>
          <w:color w:val="000000"/>
        </w:rPr>
        <w:t>Rs</w:t>
      </w:r>
      <w:proofErr w:type="spellEnd"/>
      <w:r w:rsidRPr="00804175">
        <w:rPr>
          <w:color w:val="000000"/>
        </w:rPr>
        <w:t xml:space="preserve"> 2,27,841 Crore</w:t>
      </w:r>
    </w:p>
    <w:p w:rsidR="006C1738" w:rsidRDefault="006C1738" w:rsidP="006C1738">
      <w:pPr>
        <w:pStyle w:val="NormalWeb"/>
        <w:shd w:val="clear" w:color="auto" w:fill="FFFFFF"/>
        <w:spacing w:before="0" w:beforeAutospacing="0" w:after="0" w:afterAutospacing="0"/>
        <w:jc w:val="both"/>
        <w:rPr>
          <w:b/>
          <w:color w:val="000000"/>
        </w:rPr>
      </w:pPr>
    </w:p>
    <w:p w:rsidR="006C1738" w:rsidRPr="00804175" w:rsidRDefault="006C1738" w:rsidP="006C1738">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Pr>
          <w:b/>
          <w:color w:val="000000"/>
        </w:rPr>
        <w:t xml:space="preserve">IX. </w:t>
      </w:r>
      <w:proofErr w:type="spellStart"/>
      <w:r w:rsidRPr="00804175">
        <w:rPr>
          <w:b/>
          <w:color w:val="000000"/>
        </w:rPr>
        <w:t>Rs</w:t>
      </w:r>
      <w:proofErr w:type="spellEnd"/>
      <w:r w:rsidRPr="00804175">
        <w:rPr>
          <w:b/>
          <w:color w:val="000000"/>
        </w:rPr>
        <w:t>. 23,220 Cr More for Public Health</w:t>
      </w:r>
    </w:p>
    <w:p w:rsidR="006C1738" w:rsidRPr="00804175" w:rsidRDefault="006C1738" w:rsidP="006C1738">
      <w:pPr>
        <w:pStyle w:val="NormalWeb"/>
        <w:numPr>
          <w:ilvl w:val="0"/>
          <w:numId w:val="44"/>
        </w:numPr>
        <w:shd w:val="clear" w:color="auto" w:fill="FFFFFF"/>
        <w:spacing w:before="0" w:beforeAutospacing="0" w:after="0" w:afterAutospacing="0"/>
        <w:jc w:val="both"/>
        <w:rPr>
          <w:color w:val="000000"/>
        </w:rPr>
      </w:pPr>
      <w:proofErr w:type="spellStart"/>
      <w:r w:rsidRPr="00804175">
        <w:rPr>
          <w:color w:val="000000"/>
        </w:rPr>
        <w:t>Rs</w:t>
      </w:r>
      <w:proofErr w:type="spellEnd"/>
      <w:r w:rsidRPr="00804175">
        <w:rPr>
          <w:color w:val="000000"/>
        </w:rPr>
        <w:t xml:space="preserve">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6C1738" w:rsidRPr="00804175" w:rsidRDefault="006C1738" w:rsidP="006C1738">
      <w:pPr>
        <w:pStyle w:val="NormalWeb"/>
        <w:numPr>
          <w:ilvl w:val="0"/>
          <w:numId w:val="44"/>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6C1738" w:rsidRPr="00E73A66" w:rsidRDefault="006C1738" w:rsidP="006C1738">
      <w:pPr>
        <w:pStyle w:val="NormalWeb"/>
        <w:numPr>
          <w:ilvl w:val="0"/>
          <w:numId w:val="44"/>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23,220 Cr earmarked for one year</w:t>
      </w:r>
    </w:p>
    <w:p w:rsidR="006C1738" w:rsidRPr="00804175" w:rsidRDefault="006C1738" w:rsidP="006C1738">
      <w:pPr>
        <w:pStyle w:val="NormalWeb"/>
        <w:numPr>
          <w:ilvl w:val="0"/>
          <w:numId w:val="44"/>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6C1738" w:rsidRPr="00E73A66" w:rsidRDefault="006C1738" w:rsidP="006C1738">
      <w:pPr>
        <w:pStyle w:val="NormalWeb"/>
        <w:numPr>
          <w:ilvl w:val="0"/>
          <w:numId w:val="44"/>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6C1738" w:rsidRPr="00E73A66" w:rsidRDefault="006C1738" w:rsidP="006C1738">
      <w:pPr>
        <w:pStyle w:val="NormalWeb"/>
        <w:numPr>
          <w:ilvl w:val="0"/>
          <w:numId w:val="44"/>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6C1738" w:rsidRPr="00804175" w:rsidRDefault="006C1738" w:rsidP="006C1738">
      <w:pPr>
        <w:pStyle w:val="NormalWeb"/>
        <w:numPr>
          <w:ilvl w:val="0"/>
          <w:numId w:val="44"/>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6C1738" w:rsidRDefault="006C1738" w:rsidP="006C1738">
      <w:pPr>
        <w:pStyle w:val="NormalWeb"/>
        <w:shd w:val="clear" w:color="auto" w:fill="FFFFFF"/>
        <w:spacing w:before="0" w:beforeAutospacing="0" w:after="0" w:afterAutospacing="0"/>
        <w:jc w:val="both"/>
        <w:rPr>
          <w:b/>
          <w:color w:val="000000"/>
          <w:u w:val="single"/>
        </w:rPr>
      </w:pPr>
    </w:p>
    <w:p w:rsidR="006C1738" w:rsidRPr="00804175" w:rsidRDefault="006C1738" w:rsidP="006C1738">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6C1738" w:rsidRPr="00804175" w:rsidRDefault="006C1738" w:rsidP="006C1738">
      <w:pPr>
        <w:pStyle w:val="NormalWeb"/>
        <w:numPr>
          <w:ilvl w:val="0"/>
          <w:numId w:val="45"/>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6C1738" w:rsidRPr="00804175" w:rsidRDefault="006C1738" w:rsidP="006C1738">
      <w:pPr>
        <w:pStyle w:val="NormalWeb"/>
        <w:numPr>
          <w:ilvl w:val="0"/>
          <w:numId w:val="45"/>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6C1738" w:rsidRPr="00804175" w:rsidRDefault="006C1738" w:rsidP="006C1738">
      <w:pPr>
        <w:pStyle w:val="NormalWeb"/>
        <w:numPr>
          <w:ilvl w:val="0"/>
          <w:numId w:val="45"/>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6C1738" w:rsidRPr="00804175" w:rsidRDefault="006C1738" w:rsidP="006C1738">
      <w:pPr>
        <w:pStyle w:val="NormalWeb"/>
        <w:numPr>
          <w:ilvl w:val="0"/>
          <w:numId w:val="45"/>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6C1738" w:rsidRPr="00804175" w:rsidRDefault="006C1738" w:rsidP="006C1738">
      <w:pPr>
        <w:pStyle w:val="NormalWeb"/>
        <w:numPr>
          <w:ilvl w:val="0"/>
          <w:numId w:val="45"/>
        </w:numPr>
        <w:shd w:val="clear" w:color="auto" w:fill="FFFFFF"/>
        <w:spacing w:before="0" w:beforeAutospacing="0" w:after="0" w:afterAutospacing="0"/>
        <w:jc w:val="both"/>
        <w:rPr>
          <w:color w:val="000000"/>
        </w:rPr>
      </w:pPr>
      <w:r w:rsidRPr="00804175">
        <w:rPr>
          <w:color w:val="000000"/>
        </w:rPr>
        <w:t xml:space="preserve">21 such varieties of rice, peas, millet, maize, </w:t>
      </w:r>
      <w:proofErr w:type="spellStart"/>
      <w:r w:rsidRPr="00804175">
        <w:rPr>
          <w:color w:val="000000"/>
        </w:rPr>
        <w:t>soyabean</w:t>
      </w:r>
      <w:proofErr w:type="spellEnd"/>
      <w:r w:rsidRPr="00804175">
        <w:rPr>
          <w:color w:val="000000"/>
        </w:rPr>
        <w:t>, quinoa, buckwheat, winged bean, pigeon pea &amp; sorghum will be dedicated to the nation.</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t xml:space="preserve">Established in 1982 to support farmers of North East in getting remunerative prices of </w:t>
      </w:r>
      <w:proofErr w:type="spellStart"/>
      <w:r w:rsidRPr="00804175">
        <w:rPr>
          <w:color w:val="000000"/>
        </w:rPr>
        <w:t>agri</w:t>
      </w:r>
      <w:proofErr w:type="spellEnd"/>
      <w:r w:rsidRPr="00804175">
        <w:rPr>
          <w:color w:val="000000"/>
        </w:rPr>
        <w:t>-horticulture produces</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lastRenderedPageBreak/>
        <w:t>Roadmap for capacity building, aggregation, marketing and technology prepared</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6C1738" w:rsidRPr="00804175" w:rsidRDefault="006C1738" w:rsidP="006C1738">
      <w:pPr>
        <w:pStyle w:val="NormalWeb"/>
        <w:numPr>
          <w:ilvl w:val="0"/>
          <w:numId w:val="46"/>
        </w:numPr>
        <w:shd w:val="clear" w:color="auto" w:fill="FFFFFF"/>
        <w:spacing w:before="0" w:beforeAutospacing="0" w:after="0" w:afterAutospacing="0"/>
        <w:jc w:val="both"/>
        <w:rPr>
          <w:color w:val="000000"/>
        </w:rPr>
      </w:pPr>
      <w:r w:rsidRPr="00804175">
        <w:rPr>
          <w:color w:val="000000"/>
        </w:rPr>
        <w:t xml:space="preserve">Revival package of </w:t>
      </w:r>
      <w:proofErr w:type="spellStart"/>
      <w:r w:rsidRPr="00804175">
        <w:rPr>
          <w:color w:val="000000"/>
        </w:rPr>
        <w:t>Rs</w:t>
      </w:r>
      <w:proofErr w:type="spellEnd"/>
      <w:r w:rsidRPr="00804175">
        <w:rPr>
          <w:color w:val="000000"/>
        </w:rPr>
        <w:t xml:space="preserve"> 77.45 </w:t>
      </w:r>
      <w:proofErr w:type="spellStart"/>
      <w:r w:rsidRPr="00804175">
        <w:rPr>
          <w:color w:val="000000"/>
        </w:rPr>
        <w:t>cr</w:t>
      </w:r>
      <w:proofErr w:type="spellEnd"/>
      <w:r w:rsidRPr="00804175">
        <w:rPr>
          <w:color w:val="000000"/>
        </w:rPr>
        <w:t xml:space="preserve"> proposed for financial restructuring and infusion of funds to NERAMAC</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Pr>
          <w:b/>
          <w:color w:val="000000"/>
        </w:rPr>
        <w:t xml:space="preserve">XII. </w:t>
      </w:r>
      <w:proofErr w:type="spellStart"/>
      <w:r w:rsidRPr="00804175">
        <w:rPr>
          <w:b/>
          <w:color w:val="000000"/>
        </w:rPr>
        <w:t>Rs</w:t>
      </w:r>
      <w:proofErr w:type="spellEnd"/>
      <w:r w:rsidRPr="00804175">
        <w:rPr>
          <w:b/>
          <w:color w:val="000000"/>
        </w:rPr>
        <w:t xml:space="preserve"> 33,000 Crore Boost for Project Exports through National Export Insurance Account (NEIA)</w:t>
      </w:r>
    </w:p>
    <w:p w:rsidR="006C1738" w:rsidRPr="00804175" w:rsidRDefault="006C1738" w:rsidP="006C1738">
      <w:pPr>
        <w:pStyle w:val="NormalWeb"/>
        <w:numPr>
          <w:ilvl w:val="0"/>
          <w:numId w:val="47"/>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6C1738" w:rsidRPr="00804175" w:rsidRDefault="006C1738" w:rsidP="006C1738">
      <w:pPr>
        <w:pStyle w:val="NormalWeb"/>
        <w:numPr>
          <w:ilvl w:val="0"/>
          <w:numId w:val="47"/>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6C1738" w:rsidRPr="00804175" w:rsidRDefault="006C1738" w:rsidP="006C1738">
      <w:pPr>
        <w:pStyle w:val="NormalWeb"/>
        <w:numPr>
          <w:ilvl w:val="0"/>
          <w:numId w:val="47"/>
        </w:numPr>
        <w:shd w:val="clear" w:color="auto" w:fill="FFFFFF"/>
        <w:spacing w:before="0" w:beforeAutospacing="0" w:after="0" w:afterAutospacing="0"/>
        <w:jc w:val="both"/>
        <w:rPr>
          <w:color w:val="000000"/>
        </w:rPr>
      </w:pPr>
      <w:r w:rsidRPr="00804175">
        <w:rPr>
          <w:color w:val="000000"/>
        </w:rPr>
        <w:t xml:space="preserve">NEIA Trust has supported 211 projects of </w:t>
      </w:r>
      <w:proofErr w:type="spellStart"/>
      <w:r w:rsidRPr="00804175">
        <w:rPr>
          <w:color w:val="000000"/>
        </w:rPr>
        <w:t>Rs</w:t>
      </w:r>
      <w:proofErr w:type="spellEnd"/>
      <w:r w:rsidRPr="00804175">
        <w:rPr>
          <w:color w:val="000000"/>
        </w:rPr>
        <w:t xml:space="preserve"> 52,860 </w:t>
      </w:r>
      <w:proofErr w:type="spellStart"/>
      <w:r w:rsidRPr="00804175">
        <w:rPr>
          <w:color w:val="000000"/>
        </w:rPr>
        <w:t>cr</w:t>
      </w:r>
      <w:proofErr w:type="spellEnd"/>
      <w:r w:rsidRPr="00804175">
        <w:rPr>
          <w:color w:val="000000"/>
        </w:rPr>
        <w:t xml:space="preserve"> in 52 countries by 63 different Indian Project Exporters till March 31, 2021 </w:t>
      </w:r>
    </w:p>
    <w:p w:rsidR="006C1738" w:rsidRPr="00804175" w:rsidRDefault="006C1738" w:rsidP="006C1738">
      <w:pPr>
        <w:pStyle w:val="NormalWeb"/>
        <w:numPr>
          <w:ilvl w:val="0"/>
          <w:numId w:val="47"/>
        </w:numPr>
        <w:shd w:val="clear" w:color="auto" w:fill="FFFFFF"/>
        <w:spacing w:before="0" w:beforeAutospacing="0" w:after="0" w:afterAutospacing="0"/>
        <w:jc w:val="both"/>
        <w:rPr>
          <w:color w:val="000000"/>
        </w:rPr>
      </w:pPr>
      <w:r w:rsidRPr="00804175">
        <w:rPr>
          <w:color w:val="000000"/>
        </w:rPr>
        <w:t xml:space="preserve">Proposed to provide additional corpus to NEIA over 5 years to allow it to underwrite additional </w:t>
      </w:r>
      <w:proofErr w:type="spellStart"/>
      <w:r w:rsidRPr="00804175">
        <w:rPr>
          <w:color w:val="000000"/>
        </w:rPr>
        <w:t>Rs</w:t>
      </w:r>
      <w:proofErr w:type="spellEnd"/>
      <w:r w:rsidRPr="00804175">
        <w:rPr>
          <w:color w:val="000000"/>
        </w:rPr>
        <w:t>. 33,000 crores of project exports</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Pr>
          <w:b/>
          <w:color w:val="000000"/>
        </w:rPr>
        <w:t xml:space="preserve">XIII. </w:t>
      </w:r>
      <w:proofErr w:type="spellStart"/>
      <w:r w:rsidRPr="00804175">
        <w:rPr>
          <w:b/>
          <w:color w:val="000000"/>
        </w:rPr>
        <w:t>Rs</w:t>
      </w:r>
      <w:proofErr w:type="spellEnd"/>
      <w:r w:rsidRPr="00804175">
        <w:rPr>
          <w:b/>
          <w:color w:val="000000"/>
        </w:rPr>
        <w:t>. 88,000 crore Boost to Export Insurance Cover</w:t>
      </w:r>
    </w:p>
    <w:p w:rsidR="006C1738" w:rsidRPr="00804175" w:rsidRDefault="006C1738" w:rsidP="006C1738">
      <w:pPr>
        <w:pStyle w:val="NormalWeb"/>
        <w:numPr>
          <w:ilvl w:val="0"/>
          <w:numId w:val="48"/>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6C1738" w:rsidRPr="00E73A66" w:rsidRDefault="006C1738" w:rsidP="006C1738">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6C1738" w:rsidRPr="00804175" w:rsidRDefault="006C1738" w:rsidP="006C1738">
      <w:pPr>
        <w:pStyle w:val="NormalWeb"/>
        <w:numPr>
          <w:ilvl w:val="0"/>
          <w:numId w:val="48"/>
        </w:numPr>
        <w:shd w:val="clear" w:color="auto" w:fill="FFFFFF"/>
        <w:spacing w:before="0" w:beforeAutospacing="0" w:after="0" w:afterAutospacing="0"/>
        <w:jc w:val="both"/>
        <w:rPr>
          <w:color w:val="000000"/>
        </w:rPr>
      </w:pPr>
      <w:r w:rsidRPr="00804175">
        <w:rPr>
          <w:color w:val="000000"/>
        </w:rPr>
        <w:t xml:space="preserve">Proposed to infuse equity in ECGC over 5 years to boost export insurance cover by </w:t>
      </w:r>
      <w:proofErr w:type="spellStart"/>
      <w:r w:rsidRPr="00804175">
        <w:rPr>
          <w:color w:val="000000"/>
        </w:rPr>
        <w:t>Rs</w:t>
      </w:r>
      <w:proofErr w:type="spellEnd"/>
      <w:r w:rsidRPr="00804175">
        <w:rPr>
          <w:color w:val="000000"/>
        </w:rPr>
        <w:t xml:space="preserve">. 88,000 </w:t>
      </w:r>
      <w:proofErr w:type="spellStart"/>
      <w:r w:rsidRPr="00804175">
        <w:rPr>
          <w:color w:val="000000"/>
        </w:rPr>
        <w:t>cr</w:t>
      </w:r>
      <w:proofErr w:type="spellEnd"/>
    </w:p>
    <w:p w:rsidR="006C1738" w:rsidRDefault="006C1738" w:rsidP="006C1738">
      <w:pPr>
        <w:pStyle w:val="NormalWeb"/>
        <w:shd w:val="clear" w:color="auto" w:fill="FFFFFF"/>
        <w:spacing w:before="0" w:beforeAutospacing="0" w:after="0" w:afterAutospacing="0"/>
        <w:jc w:val="both"/>
        <w:rPr>
          <w:color w:val="000000"/>
        </w:rPr>
      </w:pPr>
    </w:p>
    <w:p w:rsidR="006C1738" w:rsidRPr="00E73A66" w:rsidRDefault="006C1738" w:rsidP="006C1738">
      <w:pPr>
        <w:pStyle w:val="NormalWeb"/>
        <w:shd w:val="clear" w:color="auto" w:fill="FFFFFF"/>
        <w:spacing w:before="0" w:beforeAutospacing="0" w:after="0" w:afterAutospacing="0"/>
        <w:jc w:val="both"/>
        <w:rPr>
          <w:color w:val="000000"/>
        </w:rPr>
      </w:pPr>
      <w:r w:rsidRPr="00804175">
        <w:rPr>
          <w:b/>
          <w:color w:val="000000"/>
        </w:rPr>
        <w:t xml:space="preserve">XIV. Digital India: </w:t>
      </w:r>
      <w:proofErr w:type="spellStart"/>
      <w:r w:rsidRPr="00804175">
        <w:rPr>
          <w:b/>
          <w:color w:val="000000"/>
        </w:rPr>
        <w:t>Rs</w:t>
      </w:r>
      <w:proofErr w:type="spellEnd"/>
      <w:r w:rsidRPr="00804175">
        <w:rPr>
          <w:b/>
          <w:color w:val="000000"/>
        </w:rPr>
        <w:t>. 19041 Cr for Broadband to each Village through</w:t>
      </w:r>
      <w:r>
        <w:rPr>
          <w:b/>
          <w:color w:val="000000"/>
        </w:rPr>
        <w:t xml:space="preserve"> </w:t>
      </w:r>
      <w:proofErr w:type="spellStart"/>
      <w:r w:rsidRPr="00804175">
        <w:rPr>
          <w:b/>
          <w:color w:val="000000"/>
        </w:rPr>
        <w:t>BharatNet</w:t>
      </w:r>
      <w:proofErr w:type="spellEnd"/>
      <w:r w:rsidRPr="00804175">
        <w:rPr>
          <w:b/>
          <w:color w:val="000000"/>
        </w:rPr>
        <w:t xml:space="preserve"> PPP Model</w:t>
      </w:r>
    </w:p>
    <w:p w:rsidR="006C1738" w:rsidRPr="00804175" w:rsidRDefault="006C1738" w:rsidP="006C1738">
      <w:pPr>
        <w:pStyle w:val="NormalWeb"/>
        <w:numPr>
          <w:ilvl w:val="0"/>
          <w:numId w:val="49"/>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6C1738" w:rsidRPr="00804175" w:rsidRDefault="006C1738" w:rsidP="006C1738">
      <w:pPr>
        <w:pStyle w:val="NormalWeb"/>
        <w:numPr>
          <w:ilvl w:val="0"/>
          <w:numId w:val="49"/>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6C1738" w:rsidRPr="00804175" w:rsidRDefault="006C1738" w:rsidP="006C1738">
      <w:pPr>
        <w:pStyle w:val="NormalWeb"/>
        <w:numPr>
          <w:ilvl w:val="0"/>
          <w:numId w:val="49"/>
        </w:numPr>
        <w:shd w:val="clear" w:color="auto" w:fill="FFFFFF"/>
        <w:spacing w:before="0" w:beforeAutospacing="0" w:after="0" w:afterAutospacing="0"/>
        <w:jc w:val="both"/>
        <w:rPr>
          <w:color w:val="000000"/>
        </w:rPr>
      </w:pPr>
      <w:r w:rsidRPr="00804175">
        <w:rPr>
          <w:color w:val="000000"/>
        </w:rPr>
        <w:t xml:space="preserve">Implementation of </w:t>
      </w:r>
      <w:proofErr w:type="spellStart"/>
      <w:r w:rsidRPr="00804175">
        <w:rPr>
          <w:color w:val="000000"/>
        </w:rPr>
        <w:t>BharatNet</w:t>
      </w:r>
      <w:proofErr w:type="spellEnd"/>
      <w:r w:rsidRPr="00804175">
        <w:rPr>
          <w:color w:val="000000"/>
        </w:rPr>
        <w:t xml:space="preserve"> in PPP model in 16 States (bundled into 9 packages) on viability gap funding basis</w:t>
      </w:r>
    </w:p>
    <w:p w:rsidR="006C1738" w:rsidRPr="00E73A66" w:rsidRDefault="006C1738" w:rsidP="006C1738">
      <w:pPr>
        <w:pStyle w:val="NormalWeb"/>
        <w:numPr>
          <w:ilvl w:val="0"/>
          <w:numId w:val="49"/>
        </w:numPr>
        <w:shd w:val="clear" w:color="auto" w:fill="FFFFFF"/>
        <w:spacing w:before="0" w:beforeAutospacing="0" w:after="0" w:afterAutospacing="0"/>
        <w:jc w:val="both"/>
        <w:rPr>
          <w:color w:val="000000"/>
        </w:rPr>
      </w:pPr>
      <w:r w:rsidRPr="00E73A66">
        <w:rPr>
          <w:color w:val="000000"/>
        </w:rPr>
        <w:t xml:space="preserve">Additional </w:t>
      </w:r>
      <w:proofErr w:type="spellStart"/>
      <w:r w:rsidRPr="00E73A66">
        <w:rPr>
          <w:color w:val="000000"/>
        </w:rPr>
        <w:t>Rs</w:t>
      </w:r>
      <w:proofErr w:type="spellEnd"/>
      <w:r w:rsidRPr="00E73A66">
        <w:rPr>
          <w:color w:val="000000"/>
        </w:rPr>
        <w:t xml:space="preserve">. 19,041 Cr being provided for </w:t>
      </w:r>
      <w:proofErr w:type="spellStart"/>
      <w:r w:rsidRPr="00E73A66">
        <w:rPr>
          <w:color w:val="000000"/>
        </w:rPr>
        <w:t>BharatNet</w:t>
      </w:r>
      <w:proofErr w:type="spellEnd"/>
      <w:r w:rsidRPr="00E73A66">
        <w:rPr>
          <w:color w:val="000000"/>
        </w:rPr>
        <w:t xml:space="preserve"> </w:t>
      </w:r>
    </w:p>
    <w:p w:rsidR="006C1738" w:rsidRPr="00804175" w:rsidRDefault="006C1738" w:rsidP="006C1738">
      <w:pPr>
        <w:pStyle w:val="NormalWeb"/>
        <w:numPr>
          <w:ilvl w:val="0"/>
          <w:numId w:val="49"/>
        </w:numPr>
        <w:shd w:val="clear" w:color="auto" w:fill="FFFFFF"/>
        <w:spacing w:before="0" w:beforeAutospacing="0" w:after="0" w:afterAutospacing="0"/>
        <w:jc w:val="both"/>
        <w:rPr>
          <w:color w:val="000000"/>
        </w:rPr>
      </w:pPr>
      <w:r w:rsidRPr="00804175">
        <w:rPr>
          <w:color w:val="000000"/>
        </w:rPr>
        <w:t xml:space="preserve">Total outlay will be </w:t>
      </w:r>
      <w:proofErr w:type="spellStart"/>
      <w:r w:rsidRPr="00804175">
        <w:rPr>
          <w:color w:val="000000"/>
        </w:rPr>
        <w:t>Rs</w:t>
      </w:r>
      <w:proofErr w:type="spellEnd"/>
      <w:r w:rsidRPr="00804175">
        <w:rPr>
          <w:color w:val="000000"/>
        </w:rPr>
        <w:t xml:space="preserve">. 61,109 crores including already approved amount of </w:t>
      </w:r>
      <w:proofErr w:type="spellStart"/>
      <w:r w:rsidRPr="00804175">
        <w:rPr>
          <w:color w:val="000000"/>
        </w:rPr>
        <w:t>Rs</w:t>
      </w:r>
      <w:proofErr w:type="spellEnd"/>
      <w:r w:rsidRPr="00804175">
        <w:rPr>
          <w:color w:val="000000"/>
        </w:rPr>
        <w:t>. 42,068 crores in 2017</w:t>
      </w:r>
    </w:p>
    <w:p w:rsidR="006C1738" w:rsidRPr="00804175" w:rsidRDefault="006C1738" w:rsidP="006C1738">
      <w:pPr>
        <w:pStyle w:val="NormalWeb"/>
        <w:numPr>
          <w:ilvl w:val="0"/>
          <w:numId w:val="49"/>
        </w:numPr>
        <w:shd w:val="clear" w:color="auto" w:fill="FFFFFF"/>
        <w:spacing w:before="0" w:beforeAutospacing="0" w:after="0" w:afterAutospacing="0"/>
        <w:jc w:val="both"/>
        <w:rPr>
          <w:color w:val="000000"/>
        </w:rPr>
      </w:pPr>
      <w:r w:rsidRPr="00804175">
        <w:rPr>
          <w:color w:val="000000"/>
        </w:rPr>
        <w:t xml:space="preserve">Expansion and upgradation of </w:t>
      </w:r>
      <w:proofErr w:type="spellStart"/>
      <w:r w:rsidRPr="00804175">
        <w:rPr>
          <w:color w:val="000000"/>
        </w:rPr>
        <w:t>BharatNet</w:t>
      </w:r>
      <w:proofErr w:type="spellEnd"/>
      <w:r w:rsidRPr="00804175">
        <w:rPr>
          <w:color w:val="000000"/>
        </w:rPr>
        <w:t xml:space="preserve"> to cover all Gram Panchayats and inhabited villages</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6C1738" w:rsidRPr="00804175" w:rsidRDefault="006C1738" w:rsidP="006C1738">
      <w:pPr>
        <w:pStyle w:val="NormalWeb"/>
        <w:numPr>
          <w:ilvl w:val="0"/>
          <w:numId w:val="50"/>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6C1738" w:rsidRPr="00E73A66" w:rsidRDefault="006C1738" w:rsidP="006C1738">
      <w:pPr>
        <w:pStyle w:val="NormalWeb"/>
        <w:numPr>
          <w:ilvl w:val="0"/>
          <w:numId w:val="50"/>
        </w:numPr>
        <w:shd w:val="clear" w:color="auto" w:fill="FFFFFF"/>
        <w:spacing w:before="0" w:beforeAutospacing="0" w:after="0" w:afterAutospacing="0"/>
        <w:jc w:val="both"/>
        <w:rPr>
          <w:color w:val="000000"/>
        </w:rPr>
      </w:pPr>
      <w:r w:rsidRPr="00E73A66">
        <w:rPr>
          <w:color w:val="000000"/>
        </w:rPr>
        <w:t>Incentives applicable from 01.08.2020. Base year 2019-20</w:t>
      </w:r>
    </w:p>
    <w:p w:rsidR="006C1738" w:rsidRPr="00E73A66" w:rsidRDefault="006C1738" w:rsidP="006C1738">
      <w:pPr>
        <w:pStyle w:val="NormalWeb"/>
        <w:numPr>
          <w:ilvl w:val="0"/>
          <w:numId w:val="50"/>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6C1738" w:rsidRPr="00E73A66" w:rsidRDefault="006C1738" w:rsidP="006C1738">
      <w:pPr>
        <w:pStyle w:val="NormalWeb"/>
        <w:numPr>
          <w:ilvl w:val="1"/>
          <w:numId w:val="50"/>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6C1738" w:rsidRPr="00E73A66" w:rsidRDefault="006C1738" w:rsidP="006C1738">
      <w:pPr>
        <w:pStyle w:val="NormalWeb"/>
        <w:numPr>
          <w:ilvl w:val="1"/>
          <w:numId w:val="50"/>
        </w:numPr>
        <w:shd w:val="clear" w:color="auto" w:fill="FFFFFF"/>
        <w:spacing w:before="0" w:beforeAutospacing="0" w:after="0" w:afterAutospacing="0"/>
        <w:jc w:val="both"/>
        <w:rPr>
          <w:color w:val="000000"/>
        </w:rPr>
      </w:pPr>
      <w:r w:rsidRPr="00E73A66">
        <w:rPr>
          <w:color w:val="000000"/>
        </w:rPr>
        <w:t>restrictions on movement of personnel</w:t>
      </w:r>
    </w:p>
    <w:p w:rsidR="006C1738" w:rsidRPr="00E73A66" w:rsidRDefault="006C1738" w:rsidP="006C1738">
      <w:pPr>
        <w:pStyle w:val="NormalWeb"/>
        <w:numPr>
          <w:ilvl w:val="1"/>
          <w:numId w:val="50"/>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6C1738" w:rsidRPr="00E73A66" w:rsidRDefault="006C1738" w:rsidP="006C1738">
      <w:pPr>
        <w:pStyle w:val="NormalWeb"/>
        <w:numPr>
          <w:ilvl w:val="1"/>
          <w:numId w:val="50"/>
        </w:numPr>
        <w:shd w:val="clear" w:color="auto" w:fill="FFFFFF"/>
        <w:spacing w:before="0" w:beforeAutospacing="0" w:after="0" w:afterAutospacing="0"/>
        <w:jc w:val="both"/>
        <w:rPr>
          <w:color w:val="000000"/>
        </w:rPr>
      </w:pPr>
      <w:r w:rsidRPr="00E73A66">
        <w:rPr>
          <w:color w:val="000000"/>
        </w:rPr>
        <w:t>disruption in supply chain of components</w:t>
      </w:r>
    </w:p>
    <w:p w:rsidR="006C1738" w:rsidRPr="00804175" w:rsidRDefault="006C1738" w:rsidP="006C1738">
      <w:pPr>
        <w:pStyle w:val="NormalWeb"/>
        <w:numPr>
          <w:ilvl w:val="0"/>
          <w:numId w:val="50"/>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6C1738" w:rsidRPr="00804175" w:rsidRDefault="006C1738" w:rsidP="006C1738">
      <w:pPr>
        <w:pStyle w:val="NormalWeb"/>
        <w:numPr>
          <w:ilvl w:val="0"/>
          <w:numId w:val="50"/>
        </w:numPr>
        <w:shd w:val="clear" w:color="auto" w:fill="FFFFFF"/>
        <w:spacing w:before="0" w:beforeAutospacing="0" w:after="0" w:afterAutospacing="0"/>
        <w:jc w:val="both"/>
        <w:rPr>
          <w:color w:val="000000"/>
        </w:rPr>
      </w:pPr>
      <w:r w:rsidRPr="00804175">
        <w:rPr>
          <w:color w:val="000000"/>
        </w:rPr>
        <w:lastRenderedPageBreak/>
        <w:t>Participating companies will get option of choosing any five years for meeting their production targets under the scheme.</w:t>
      </w:r>
    </w:p>
    <w:p w:rsidR="006C1738" w:rsidRPr="00804175" w:rsidRDefault="006C1738" w:rsidP="006C1738">
      <w:pPr>
        <w:pStyle w:val="NormalWeb"/>
        <w:numPr>
          <w:ilvl w:val="0"/>
          <w:numId w:val="50"/>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proofErr w:type="spellStart"/>
      <w:r w:rsidRPr="00804175">
        <w:rPr>
          <w:b/>
          <w:color w:val="000000"/>
        </w:rPr>
        <w:t>Rs</w:t>
      </w:r>
      <w:proofErr w:type="spellEnd"/>
      <w:r w:rsidRPr="00804175">
        <w:rPr>
          <w:b/>
          <w:color w:val="000000"/>
        </w:rPr>
        <w:t xml:space="preserve"> 3.03 Lakh Cr for Reform Based Result Linked Power Distribution Scheme</w:t>
      </w:r>
    </w:p>
    <w:p w:rsidR="006C1738" w:rsidRPr="00804175" w:rsidRDefault="006C1738" w:rsidP="006C1738">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6C1738" w:rsidRPr="00E73A66" w:rsidRDefault="006C1738" w:rsidP="006C1738">
      <w:pPr>
        <w:pStyle w:val="NormalWeb"/>
        <w:numPr>
          <w:ilvl w:val="0"/>
          <w:numId w:val="51"/>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6C1738" w:rsidRPr="00804175" w:rsidRDefault="006C1738" w:rsidP="006C1738">
      <w:pPr>
        <w:pStyle w:val="NormalWeb"/>
        <w:numPr>
          <w:ilvl w:val="0"/>
          <w:numId w:val="51"/>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6C1738" w:rsidRDefault="006C1738" w:rsidP="006C1738">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6C1738" w:rsidRPr="00804175" w:rsidRDefault="006C1738" w:rsidP="006C1738">
      <w:pPr>
        <w:pStyle w:val="NormalWeb"/>
        <w:numPr>
          <w:ilvl w:val="0"/>
          <w:numId w:val="51"/>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6C1738" w:rsidRPr="00E73A66" w:rsidRDefault="006C1738" w:rsidP="006C1738">
      <w:pPr>
        <w:pStyle w:val="NormalWeb"/>
        <w:numPr>
          <w:ilvl w:val="0"/>
          <w:numId w:val="51"/>
        </w:numPr>
        <w:shd w:val="clear" w:color="auto" w:fill="FFFFFF"/>
        <w:spacing w:before="0" w:beforeAutospacing="0" w:after="0" w:afterAutospacing="0"/>
        <w:jc w:val="both"/>
        <w:rPr>
          <w:color w:val="000000"/>
        </w:rPr>
      </w:pPr>
      <w:r w:rsidRPr="00E73A66">
        <w:rPr>
          <w:color w:val="000000"/>
        </w:rPr>
        <w:t xml:space="preserve">Total allocation- Rs.3,03,058 Cr, Central share-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97,631 </w:t>
      </w:r>
      <w:proofErr w:type="spellStart"/>
      <w:r w:rsidRPr="00E73A66">
        <w:rPr>
          <w:color w:val="000000"/>
        </w:rPr>
        <w:t>cr</w:t>
      </w:r>
      <w:proofErr w:type="spellEnd"/>
    </w:p>
    <w:p w:rsidR="006C1738" w:rsidRPr="00804175" w:rsidRDefault="006C1738" w:rsidP="006C1738">
      <w:pPr>
        <w:pStyle w:val="NormalWeb"/>
        <w:numPr>
          <w:ilvl w:val="0"/>
          <w:numId w:val="51"/>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w:t>
      </w:r>
      <w:proofErr w:type="spellStart"/>
      <w:r w:rsidRPr="00804175">
        <w:rPr>
          <w:color w:val="000000"/>
        </w:rPr>
        <w:t>Rs</w:t>
      </w:r>
      <w:proofErr w:type="spellEnd"/>
      <w:r>
        <w:rPr>
          <w:color w:val="000000"/>
        </w:rPr>
        <w:t>.</w:t>
      </w:r>
      <w:r w:rsidRPr="00804175">
        <w:rPr>
          <w:color w:val="000000"/>
        </w:rPr>
        <w:t xml:space="preserve"> 1,05,864 Cr for 2021-22) subject to carrying out specified power sector reforms</w:t>
      </w:r>
    </w:p>
    <w:p w:rsidR="006C1738" w:rsidRDefault="006C1738" w:rsidP="006C1738">
      <w:pPr>
        <w:pStyle w:val="NormalWeb"/>
        <w:shd w:val="clear" w:color="auto" w:fill="FFFFFF"/>
        <w:spacing w:before="0" w:beforeAutospacing="0" w:after="0" w:afterAutospacing="0"/>
        <w:jc w:val="both"/>
        <w:rPr>
          <w:color w:val="000000"/>
        </w:rPr>
      </w:pPr>
    </w:p>
    <w:p w:rsidR="006C1738" w:rsidRPr="00804175" w:rsidRDefault="006C1738" w:rsidP="006C1738">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6C1738" w:rsidRPr="00804175" w:rsidRDefault="006C1738" w:rsidP="006C1738">
      <w:pPr>
        <w:pStyle w:val="NormalWeb"/>
        <w:numPr>
          <w:ilvl w:val="0"/>
          <w:numId w:val="52"/>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6C1738" w:rsidRPr="00804175" w:rsidRDefault="006C1738" w:rsidP="006C1738">
      <w:pPr>
        <w:pStyle w:val="NormalWeb"/>
        <w:numPr>
          <w:ilvl w:val="0"/>
          <w:numId w:val="52"/>
        </w:numPr>
        <w:shd w:val="clear" w:color="auto" w:fill="FFFFFF"/>
        <w:spacing w:before="0" w:beforeAutospacing="0" w:after="0" w:afterAutospacing="0"/>
        <w:jc w:val="both"/>
        <w:rPr>
          <w:color w:val="000000"/>
        </w:rPr>
      </w:pPr>
      <w:r w:rsidRPr="00804175">
        <w:rPr>
          <w:color w:val="000000"/>
        </w:rPr>
        <w:t xml:space="preserve">New policy will be formulated for appraisal and approval of PPP proposals and monetization of core infrastructure assets, including through </w:t>
      </w:r>
      <w:proofErr w:type="spellStart"/>
      <w:r w:rsidRPr="00804175">
        <w:rPr>
          <w:color w:val="000000"/>
        </w:rPr>
        <w:t>InvITs</w:t>
      </w:r>
      <w:proofErr w:type="spellEnd"/>
    </w:p>
    <w:p w:rsidR="006C1738" w:rsidRDefault="006C1738" w:rsidP="006C1738">
      <w:pPr>
        <w:pStyle w:val="NormalWeb"/>
        <w:numPr>
          <w:ilvl w:val="0"/>
          <w:numId w:val="52"/>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6C1738" w:rsidRDefault="006C1738" w:rsidP="006C1738"/>
    <w:p w:rsidR="006C1738" w:rsidRDefault="006C1738" w:rsidP="006C1738"/>
    <w:p w:rsidR="006C1738" w:rsidRPr="00997F78" w:rsidRDefault="006C1738" w:rsidP="006C1738">
      <w:pPr>
        <w:spacing w:after="0" w:line="240" w:lineRule="auto"/>
        <w:jc w:val="both"/>
        <w:rPr>
          <w:rFonts w:ascii="Times New Roman" w:hAnsi="Times New Roman" w:cs="Times New Roman"/>
          <w:b/>
          <w:sz w:val="24"/>
          <w:szCs w:val="24"/>
          <w:shd w:val="clear" w:color="auto" w:fill="F8F8F8"/>
        </w:rPr>
      </w:pPr>
      <w:r w:rsidRPr="00997F78">
        <w:rPr>
          <w:rFonts w:ascii="Times New Roman" w:hAnsi="Times New Roman" w:cs="Times New Roman"/>
          <w:b/>
          <w:sz w:val="24"/>
          <w:szCs w:val="24"/>
          <w:shd w:val="clear" w:color="auto" w:fill="F8F8F8"/>
        </w:rPr>
        <w:t>The Insolvency and Bankruptcy Code (Amendment) Ordinance, 2021</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The Insolvency and Bankruptcy Code (Amendment) Ordinance, 2021 was promulgated on April 4, 2021.  It amends the Insolvency and Bankruptcy Code, 2016.  Insolvency is a situation where individuals or companies are unable to repay their outstanding debt.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The Code provides a time-bound process for resolving the insolvency of corporate debtors (within 330 days) called the corporate insolvency resolution process (CIRP).  The debtor himself or its creditors may apply for initiation of CIRP in the event of a default of at least one lakh rupees.  Under CIRP, a committee of creditors is constituted to decide regarding the insolvency resolution.  The committee may consider a resolution plan which typically provides for the payoff of debt by merger, acquisition, or restructuring of the company.  If a resolution plan is not approved by the committee of creditors within the specified time, the company is liquidated.   During CIRP, the affairs of the company are managed by the resolution professional (RP), who is appointed to conduct CIRP.</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Pre-packaged insolvency resolution</w:t>
      </w:r>
      <w:r w:rsidRPr="00997F78">
        <w:rPr>
          <w:rFonts w:ascii="Times New Roman" w:hAnsi="Times New Roman" w:cs="Times New Roman"/>
          <w:sz w:val="24"/>
          <w:szCs w:val="24"/>
          <w:shd w:val="clear" w:color="auto" w:fill="F8F8F8"/>
        </w:rPr>
        <w:t xml:space="preserve">: The Ordinance introduces an alternate insolvency resolution process for micro, small, and medium enterprises (MSMEs), called the pre-packaged insolvency resolution process (PIRP).  Unlike CIRP, PIRP may be initiated only by debtors.  </w:t>
      </w:r>
      <w:r w:rsidRPr="00997F78">
        <w:rPr>
          <w:rFonts w:ascii="Times New Roman" w:hAnsi="Times New Roman" w:cs="Times New Roman"/>
          <w:sz w:val="24"/>
          <w:szCs w:val="24"/>
          <w:shd w:val="clear" w:color="auto" w:fill="F8F8F8"/>
        </w:rPr>
        <w:lastRenderedPageBreak/>
        <w:t>The debtor should have a base resolution plan in place.  During PIRP, the management of the company will remain with the debtor.</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Minimum default amount</w:t>
      </w:r>
      <w:r w:rsidRPr="00997F78">
        <w:rPr>
          <w:rFonts w:ascii="Times New Roman" w:hAnsi="Times New Roman" w:cs="Times New Roman"/>
          <w:sz w:val="24"/>
          <w:szCs w:val="24"/>
          <w:shd w:val="clear" w:color="auto" w:fill="F8F8F8"/>
        </w:rPr>
        <w:t>: Application for initiating PIRP may be filed in the event of a default of at least one lakh rupees.  The central government may increase the threshold of minimum default up to one crore rupees through a notification.</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Debtors eligible for PIRP</w:t>
      </w:r>
      <w:r w:rsidRPr="00997F78">
        <w:rPr>
          <w:rFonts w:ascii="Times New Roman" w:hAnsi="Times New Roman" w:cs="Times New Roman"/>
          <w:sz w:val="24"/>
          <w:szCs w:val="24"/>
          <w:shd w:val="clear" w:color="auto" w:fill="F8F8F8"/>
        </w:rPr>
        <w:t xml:space="preserve">: PIRP may be initiated in the event of a default by a corporate debtor classified as an MSME under the MSME Development Act, 2006.  Currently, under the 2006 Act, an enterprise with an annual turnover of up to </w:t>
      </w:r>
      <w:proofErr w:type="spellStart"/>
      <w:r w:rsidRPr="00997F78">
        <w:rPr>
          <w:rFonts w:ascii="Times New Roman" w:hAnsi="Times New Roman" w:cs="Times New Roman"/>
          <w:sz w:val="24"/>
          <w:szCs w:val="24"/>
          <w:shd w:val="clear" w:color="auto" w:fill="F8F8F8"/>
        </w:rPr>
        <w:t>Rs</w:t>
      </w:r>
      <w:proofErr w:type="spellEnd"/>
      <w:r w:rsidRPr="00997F78">
        <w:rPr>
          <w:rFonts w:ascii="Times New Roman" w:hAnsi="Times New Roman" w:cs="Times New Roman"/>
          <w:sz w:val="24"/>
          <w:szCs w:val="24"/>
          <w:shd w:val="clear" w:color="auto" w:fill="F8F8F8"/>
        </w:rPr>
        <w:t xml:space="preserve"> 250 crore, and investment in plant and machinery or equipment up to </w:t>
      </w:r>
      <w:proofErr w:type="spellStart"/>
      <w:r w:rsidRPr="00997F78">
        <w:rPr>
          <w:rFonts w:ascii="Times New Roman" w:hAnsi="Times New Roman" w:cs="Times New Roman"/>
          <w:sz w:val="24"/>
          <w:szCs w:val="24"/>
          <w:shd w:val="clear" w:color="auto" w:fill="F8F8F8"/>
        </w:rPr>
        <w:t>Rs</w:t>
      </w:r>
      <w:proofErr w:type="spellEnd"/>
      <w:r w:rsidRPr="00997F78">
        <w:rPr>
          <w:rFonts w:ascii="Times New Roman" w:hAnsi="Times New Roman" w:cs="Times New Roman"/>
          <w:sz w:val="24"/>
          <w:szCs w:val="24"/>
          <w:shd w:val="clear" w:color="auto" w:fill="F8F8F8"/>
        </w:rPr>
        <w:t xml:space="preserve"> 50 crore, is classified as an MSME.  For initiating PIRP, the corporate debtor himself is required to apply to the adjudicating authority (National Company Law Tribunal).  The authority must approve or reject the application for PIRP within 14 days of its receipt.</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Approval of financial creditors</w:t>
      </w:r>
      <w:r w:rsidRPr="00997F78">
        <w:rPr>
          <w:rFonts w:ascii="Times New Roman" w:hAnsi="Times New Roman" w:cs="Times New Roman"/>
          <w:sz w:val="24"/>
          <w:szCs w:val="24"/>
          <w:shd w:val="clear" w:color="auto" w:fill="F8F8F8"/>
        </w:rPr>
        <w:t>: For applying for PIRP, the debtor needs to obtain approval of at least 66% of its financial creditors (in value of debt due to creditors) who are not related parties of the debtor.  Before seeking approval, the debtor must provide creditors with a base resolution plan.   The debtor must also propose the name of the RP along with the application for PIRP.  The proposed RP must be approved by at least 66% of the financial creditors.</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Proceedings under PIRP</w:t>
      </w:r>
      <w:r w:rsidRPr="00997F78">
        <w:rPr>
          <w:rFonts w:ascii="Times New Roman" w:hAnsi="Times New Roman" w:cs="Times New Roman"/>
          <w:sz w:val="24"/>
          <w:szCs w:val="24"/>
          <w:shd w:val="clear" w:color="auto" w:fill="F8F8F8"/>
        </w:rPr>
        <w:t>: The debtor will submit the base resolution plan to the RP within two days of the commencement of the PIRP.  A committee of creditors will be constituted within seven days of the PIRP commencement date, which will consider the base resolution plan.   The committee may provide the debtor with an opportunity to revise the plan.  The RP may also invite resolution plans from other persons.  Alternative resolution plans may be invited if the base plan: (i) is not approved by the committee, or (ii) is unable to pay the debt of operational creditors (claims related to the provision of goods and services).</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A resolution plan must be approved by</w:t>
      </w:r>
      <w:r w:rsidRPr="00997F78">
        <w:rPr>
          <w:rFonts w:ascii="Times New Roman" w:hAnsi="Times New Roman" w:cs="Times New Roman"/>
          <w:sz w:val="24"/>
          <w:szCs w:val="24"/>
          <w:shd w:val="clear" w:color="auto" w:fill="F8F8F8"/>
        </w:rPr>
        <w:t xml:space="preserve"> the committee by a vote of at least 66% of the voting shares.  A resolution plan must be approved by the committee within 90 days from the commencement date of PIRP.  The resolution plan approved by the committee will be examined by the adjudicating authority.  If no resolution plan is approved by the committee, the RP may apply for termination of PIRP.  The authority must either approve the plan or order termination of PIRP within 30 days of receipt.  Termination of PIRP will result in the liquidation of the corporate debtor.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Moratorium</w:t>
      </w:r>
      <w:r w:rsidRPr="00997F78">
        <w:rPr>
          <w:rFonts w:ascii="Times New Roman" w:hAnsi="Times New Roman" w:cs="Times New Roman"/>
          <w:sz w:val="24"/>
          <w:szCs w:val="24"/>
          <w:shd w:val="clear" w:color="auto" w:fill="F8F8F8"/>
        </w:rPr>
        <w:t>: During PIRP, the debtor will be provided with a moratorium under which certain actions against the debtor will be prohibited.  These include filing or continuation of suits, execution of court orders, or recovery of property.</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Management of debtor during PIRP</w:t>
      </w:r>
      <w:r w:rsidRPr="00997F78">
        <w:rPr>
          <w:rFonts w:ascii="Times New Roman" w:hAnsi="Times New Roman" w:cs="Times New Roman"/>
          <w:sz w:val="24"/>
          <w:szCs w:val="24"/>
          <w:shd w:val="clear" w:color="auto" w:fill="F8F8F8"/>
        </w:rPr>
        <w:t>: During the PIRP, the board of directors or partners of the debtor will continue to manage the affairs of the debtor.  However, the management of the debtor may be vested with the RP if there has been fraudulent conduct or gross mismanagement.</w:t>
      </w:r>
    </w:p>
    <w:p w:rsidR="006C1738" w:rsidRPr="00997F7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6C1738" w:rsidRDefault="006C1738" w:rsidP="006C1738">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Initiation of CIRP</w:t>
      </w:r>
      <w:r w:rsidRPr="00997F78">
        <w:rPr>
          <w:rFonts w:ascii="Times New Roman" w:hAnsi="Times New Roman" w:cs="Times New Roman"/>
          <w:sz w:val="24"/>
          <w:szCs w:val="24"/>
          <w:shd w:val="clear" w:color="auto" w:fill="F8F8F8"/>
        </w:rPr>
        <w:t xml:space="preserve">:  At any time from the PIRP commencement date but before the approval of the resolution plan, the committee of creditors may decide to terminate PIRP and instead initiate CIRP in respect of the debtor (by a vote of at least 66% of the voting shares).  </w:t>
      </w:r>
    </w:p>
    <w:p w:rsidR="006C1738" w:rsidRDefault="006C1738" w:rsidP="006C1738">
      <w:pPr>
        <w:spacing w:after="0" w:line="240" w:lineRule="auto"/>
        <w:jc w:val="both"/>
        <w:rPr>
          <w:rFonts w:ascii="Times New Roman" w:hAnsi="Times New Roman" w:cs="Times New Roman"/>
          <w:sz w:val="24"/>
          <w:szCs w:val="24"/>
          <w:shd w:val="clear" w:color="auto" w:fill="F8F8F8"/>
        </w:rPr>
      </w:pPr>
    </w:p>
    <w:p w:rsidR="006C1738" w:rsidRDefault="00736AAC" w:rsidP="006C1738">
      <w:pPr>
        <w:pBdr>
          <w:bottom w:val="single" w:sz="12" w:space="1" w:color="auto"/>
        </w:pBdr>
        <w:spacing w:after="0" w:line="240" w:lineRule="auto"/>
        <w:jc w:val="both"/>
        <w:rPr>
          <w:rFonts w:ascii="Times New Roman" w:hAnsi="Times New Roman" w:cs="Times New Roman"/>
          <w:sz w:val="24"/>
          <w:szCs w:val="24"/>
          <w:shd w:val="clear" w:color="auto" w:fill="F8F8F8"/>
        </w:rPr>
      </w:pPr>
      <w:hyperlink r:id="rId117" w:history="1">
        <w:r w:rsidR="006C1738" w:rsidRPr="00250602">
          <w:rPr>
            <w:rStyle w:val="Hyperlink"/>
            <w:rFonts w:ascii="Times New Roman" w:hAnsi="Times New Roman" w:cs="Times New Roman"/>
            <w:sz w:val="24"/>
            <w:szCs w:val="24"/>
            <w:shd w:val="clear" w:color="auto" w:fill="F8F8F8"/>
          </w:rPr>
          <w:t>https://prsindia.org/billtrack/the-insolvency-and-bankruptcy-code-amendment-ordinance-2021</w:t>
        </w:r>
      </w:hyperlink>
      <w:r w:rsidR="006C1738">
        <w:rPr>
          <w:rFonts w:ascii="Times New Roman" w:hAnsi="Times New Roman" w:cs="Times New Roman"/>
          <w:sz w:val="24"/>
          <w:szCs w:val="24"/>
          <w:shd w:val="clear" w:color="auto" w:fill="F8F8F8"/>
        </w:rPr>
        <w:t xml:space="preserve"> </w:t>
      </w:r>
    </w:p>
    <w:p w:rsidR="006C1738" w:rsidRDefault="006C1738" w:rsidP="006C1738">
      <w:pPr>
        <w:pBdr>
          <w:bottom w:val="single" w:sz="12" w:space="1" w:color="auto"/>
        </w:pBdr>
        <w:spacing w:after="0" w:line="240" w:lineRule="auto"/>
        <w:jc w:val="both"/>
        <w:rPr>
          <w:rFonts w:ascii="Times New Roman" w:hAnsi="Times New Roman" w:cs="Times New Roman"/>
          <w:sz w:val="24"/>
          <w:szCs w:val="24"/>
          <w:shd w:val="clear" w:color="auto" w:fill="F8F8F8"/>
        </w:rPr>
      </w:pPr>
    </w:p>
    <w:p w:rsidR="006C1738" w:rsidRDefault="006C1738" w:rsidP="006C1738"/>
    <w:sectPr w:rsidR="006C1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9" w15:restartNumberingAfterBreak="0">
    <w:nsid w:val="3CA67D62"/>
    <w:multiLevelType w:val="multilevel"/>
    <w:tmpl w:val="DB6C7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7"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9"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0"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0"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48"/>
  </w:num>
  <w:num w:numId="4">
    <w:abstractNumId w:val="20"/>
  </w:num>
  <w:num w:numId="5">
    <w:abstractNumId w:val="29"/>
  </w:num>
  <w:num w:numId="6">
    <w:abstractNumId w:val="25"/>
  </w:num>
  <w:num w:numId="7">
    <w:abstractNumId w:val="9"/>
  </w:num>
  <w:num w:numId="8">
    <w:abstractNumId w:val="42"/>
  </w:num>
  <w:num w:numId="9">
    <w:abstractNumId w:val="43"/>
  </w:num>
  <w:num w:numId="10">
    <w:abstractNumId w:val="19"/>
  </w:num>
  <w:num w:numId="11">
    <w:abstractNumId w:val="18"/>
  </w:num>
  <w:num w:numId="12">
    <w:abstractNumId w:val="31"/>
  </w:num>
  <w:num w:numId="13">
    <w:abstractNumId w:val="36"/>
  </w:num>
  <w:num w:numId="14">
    <w:abstractNumId w:val="39"/>
  </w:num>
  <w:num w:numId="15">
    <w:abstractNumId w:val="10"/>
  </w:num>
  <w:num w:numId="16">
    <w:abstractNumId w:val="38"/>
  </w:num>
  <w:num w:numId="17">
    <w:abstractNumId w:val="32"/>
  </w:num>
  <w:num w:numId="18">
    <w:abstractNumId w:val="50"/>
  </w:num>
  <w:num w:numId="19">
    <w:abstractNumId w:val="0"/>
  </w:num>
  <w:num w:numId="20">
    <w:abstractNumId w:val="21"/>
  </w:num>
  <w:num w:numId="21">
    <w:abstractNumId w:val="45"/>
  </w:num>
  <w:num w:numId="22">
    <w:abstractNumId w:val="7"/>
  </w:num>
  <w:num w:numId="23">
    <w:abstractNumId w:val="15"/>
  </w:num>
  <w:num w:numId="24">
    <w:abstractNumId w:val="11"/>
  </w:num>
  <w:num w:numId="25">
    <w:abstractNumId w:val="27"/>
  </w:num>
  <w:num w:numId="26">
    <w:abstractNumId w:val="34"/>
  </w:num>
  <w:num w:numId="27">
    <w:abstractNumId w:val="47"/>
  </w:num>
  <w:num w:numId="28">
    <w:abstractNumId w:val="4"/>
  </w:num>
  <w:num w:numId="29">
    <w:abstractNumId w:val="40"/>
  </w:num>
  <w:num w:numId="30">
    <w:abstractNumId w:val="49"/>
  </w:num>
  <w:num w:numId="31">
    <w:abstractNumId w:val="26"/>
  </w:num>
  <w:num w:numId="32">
    <w:abstractNumId w:val="13"/>
  </w:num>
  <w:num w:numId="33">
    <w:abstractNumId w:val="23"/>
  </w:num>
  <w:num w:numId="34">
    <w:abstractNumId w:val="35"/>
  </w:num>
  <w:num w:numId="35">
    <w:abstractNumId w:val="12"/>
  </w:num>
  <w:num w:numId="36">
    <w:abstractNumId w:val="44"/>
  </w:num>
  <w:num w:numId="37">
    <w:abstractNumId w:val="24"/>
  </w:num>
  <w:num w:numId="38">
    <w:abstractNumId w:val="3"/>
  </w:num>
  <w:num w:numId="39">
    <w:abstractNumId w:val="28"/>
  </w:num>
  <w:num w:numId="40">
    <w:abstractNumId w:val="22"/>
  </w:num>
  <w:num w:numId="41">
    <w:abstractNumId w:val="37"/>
  </w:num>
  <w:num w:numId="42">
    <w:abstractNumId w:val="14"/>
  </w:num>
  <w:num w:numId="43">
    <w:abstractNumId w:val="41"/>
  </w:num>
  <w:num w:numId="44">
    <w:abstractNumId w:val="1"/>
  </w:num>
  <w:num w:numId="45">
    <w:abstractNumId w:val="6"/>
  </w:num>
  <w:num w:numId="46">
    <w:abstractNumId w:val="33"/>
  </w:num>
  <w:num w:numId="47">
    <w:abstractNumId w:val="51"/>
  </w:num>
  <w:num w:numId="48">
    <w:abstractNumId w:val="2"/>
  </w:num>
  <w:num w:numId="49">
    <w:abstractNumId w:val="8"/>
  </w:num>
  <w:num w:numId="50">
    <w:abstractNumId w:val="17"/>
  </w:num>
  <w:num w:numId="51">
    <w:abstractNumId w:val="30"/>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61"/>
    <w:rsid w:val="0013687F"/>
    <w:rsid w:val="002E2BDE"/>
    <w:rsid w:val="00497E16"/>
    <w:rsid w:val="006C1738"/>
    <w:rsid w:val="00736AAC"/>
    <w:rsid w:val="00A90AED"/>
    <w:rsid w:val="00B74F61"/>
    <w:rsid w:val="00E03DB7"/>
    <w:rsid w:val="00F74A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E9EB"/>
  <w15:chartTrackingRefBased/>
  <w15:docId w15:val="{5A1E1A12-86BC-4814-ABFA-2E0E053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BD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E2B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E2BDE"/>
    <w:rPr>
      <w:color w:val="0000FF"/>
      <w:u w:val="single"/>
    </w:rPr>
  </w:style>
  <w:style w:type="character" w:customStyle="1" w:styleId="head1">
    <w:name w:val="head1"/>
    <w:basedOn w:val="DefaultParagraphFont"/>
    <w:rsid w:val="002E2BDE"/>
  </w:style>
  <w:style w:type="paragraph" w:styleId="ListParagraph">
    <w:name w:val="List Paragraph"/>
    <w:basedOn w:val="Normal"/>
    <w:uiPriority w:val="34"/>
    <w:qFormat/>
    <w:rsid w:val="00F7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PressReleaseDisplay.aspx?prid=47225" TargetMode="External"/><Relationship Id="rId117" Type="http://schemas.openxmlformats.org/officeDocument/2006/relationships/hyperlink" Target="https://prsindia.org/billtrack/the-insolvency-and-bankruptcy-code-amendment-ordinance-2021" TargetMode="External"/><Relationship Id="rId21" Type="http://schemas.openxmlformats.org/officeDocument/2006/relationships/hyperlink" Target="https://www.rbi.org.in/Scripts/NotificationUser.aspx?Id=12120&amp;Mode=0" TargetMode="External"/><Relationship Id="rId42" Type="http://schemas.openxmlformats.org/officeDocument/2006/relationships/hyperlink" Target="https://www.rbi.org.in/Scripts/NotificationUser.aspx?Id=11866&amp;Mode=0" TargetMode="External"/><Relationship Id="rId47" Type="http://schemas.openxmlformats.org/officeDocument/2006/relationships/hyperlink" Target="https://www.rbi.org.in/Scripts/BS_FemaNotifications.aspx?Id=2126" TargetMode="External"/><Relationship Id="rId63" Type="http://schemas.openxmlformats.org/officeDocument/2006/relationships/hyperlink" Target="https://rbidocs.rbi.org.in/rdocs/content/pdfs/BILA30032021_A2.pdf" TargetMode="External"/><Relationship Id="rId68" Type="http://schemas.openxmlformats.org/officeDocument/2006/relationships/hyperlink" Target="https://rbi.org.in/Scripts/NotificationUser.aspx?Id=10276&amp;Mode=0" TargetMode="External"/><Relationship Id="rId84" Type="http://schemas.openxmlformats.org/officeDocument/2006/relationships/hyperlink" Target="https://www.rbi.org.in/Scripts/NotificationUser.aspx?Id=12032&amp;Mode=0" TargetMode="External"/><Relationship Id="rId89" Type="http://schemas.openxmlformats.org/officeDocument/2006/relationships/hyperlink" Target="https://www.rbi.org.in/Scripts/NotificationUser.aspx?Id=12032&amp;Mode=0" TargetMode="External"/><Relationship Id="rId112" Type="http://schemas.openxmlformats.org/officeDocument/2006/relationships/hyperlink" Target="https://www.rbi.org.in/Scripts/BS_ViewMasCirculardetails.aspx?id=9893" TargetMode="External"/><Relationship Id="rId16" Type="http://schemas.openxmlformats.org/officeDocument/2006/relationships/hyperlink" Target="mailto:reportfmd@rbi.org.in" TargetMode="External"/><Relationship Id="rId107" Type="http://schemas.openxmlformats.org/officeDocument/2006/relationships/hyperlink" Target="https://www.rbi.org.in/Scripts/NotificationUser.aspx?Id=12004&amp;Mode=0" TargetMode="External"/><Relationship Id="rId11" Type="http://schemas.openxmlformats.org/officeDocument/2006/relationships/hyperlink" Target="https://rbi.org.in/Scripts/NotificationUser.aspx?Id=11385&amp;Mode=0" TargetMode="External"/><Relationship Id="rId24" Type="http://schemas.openxmlformats.org/officeDocument/2006/relationships/hyperlink" Target="https://www.rbi.org.in/Scripts/NotificationUser.aspx?Id=12011&amp;Mode=0" TargetMode="External"/><Relationship Id="rId32" Type="http://schemas.openxmlformats.org/officeDocument/2006/relationships/hyperlink" Target="https://www.rbi.org.in/Scripts/BS_ViewMasCirculardetails.aspx?id=9874" TargetMode="External"/><Relationship Id="rId37" Type="http://schemas.openxmlformats.org/officeDocument/2006/relationships/hyperlink" Target="https://www.rbi.org.in/Scripts/NotificationUser.aspx?Id=11441&amp;Mode=0" TargetMode="External"/><Relationship Id="rId40" Type="http://schemas.openxmlformats.org/officeDocument/2006/relationships/hyperlink" Target="https://www.rbi.org.in/Scripts/NotificationUser.aspx?Id=11849&amp;Mode=0" TargetMode="External"/><Relationship Id="rId45" Type="http://schemas.openxmlformats.org/officeDocument/2006/relationships/hyperlink" Target="https://www.rbi.org.in/Scripts/NotificationUser.aspx?Id=12049&amp;Mode=0" TargetMode="External"/><Relationship Id="rId53" Type="http://schemas.openxmlformats.org/officeDocument/2006/relationships/hyperlink" Target="https://www.rbi.org.in/scripts/NotificationUser.aspx?Id=8737&amp;Mode=0" TargetMode="External"/><Relationship Id="rId58" Type="http://schemas.openxmlformats.org/officeDocument/2006/relationships/hyperlink" Target="https://www.rbi.org.in/Scripts/NotificationUser.aspx?Id=12049&amp;Mode=0" TargetMode="External"/><Relationship Id="rId66" Type="http://schemas.openxmlformats.org/officeDocument/2006/relationships/hyperlink" Target="https://www.rbi.org.in/Scripts/BS_ViewMasCirculardetails.aspx?id=9893" TargetMode="External"/><Relationship Id="rId74" Type="http://schemas.openxmlformats.org/officeDocument/2006/relationships/hyperlink" Target="https://rbi.org.in/Scripts/NotificationUser.aspx?Id=8968&amp;Mode=0" TargetMode="External"/><Relationship Id="rId79" Type="http://schemas.openxmlformats.org/officeDocument/2006/relationships/hyperlink" Target="https://www.rbi.org.in/Scripts/BS_PressReleaseDisplay.aspx?prid=51078" TargetMode="External"/><Relationship Id="rId87" Type="http://schemas.openxmlformats.org/officeDocument/2006/relationships/hyperlink" Target="https://www.rbi.org.in/Scripts/NotificationUser.aspx?Id=12032&amp;Mode=0" TargetMode="External"/><Relationship Id="rId102" Type="http://schemas.openxmlformats.org/officeDocument/2006/relationships/hyperlink" Target="https://www.rbi.org.in/Scripts/NotificationUser.aspx?Id=11982&amp;Mode=0" TargetMode="External"/><Relationship Id="rId110" Type="http://schemas.openxmlformats.org/officeDocument/2006/relationships/hyperlink" Target="https://www.rbi.org.in/Scripts/NotificationUser.aspx?Id=11841&amp;Mode=0" TargetMode="External"/><Relationship Id="rId115" Type="http://schemas.openxmlformats.org/officeDocument/2006/relationships/hyperlink" Target="https://www.rbi.org.in/Scripts/NotificationUser.aspx?Id=12070&amp;Mode=0" TargetMode="External"/><Relationship Id="rId5" Type="http://schemas.openxmlformats.org/officeDocument/2006/relationships/hyperlink" Target="https://rbi.org.in/Scripts/BS_PressReleaseDisplay.aspx?prid=47226" TargetMode="External"/><Relationship Id="rId61" Type="http://schemas.openxmlformats.org/officeDocument/2006/relationships/hyperlink" Target="https://rbidocs.rbi.org.in/rdocs/content/pdfs/BILA30032021_A1.pdf" TargetMode="External"/><Relationship Id="rId82" Type="http://schemas.openxmlformats.org/officeDocument/2006/relationships/hyperlink" Target="https://www.rbi.org.in/Scripts/NotificationUser.aspx?Id=12032&amp;Mode=0" TargetMode="External"/><Relationship Id="rId90" Type="http://schemas.openxmlformats.org/officeDocument/2006/relationships/hyperlink" Target="https://www.rbi.org.in/Scripts/NotificationUser.aspx?Id=12032&amp;Mode=0" TargetMode="External"/><Relationship Id="rId95" Type="http://schemas.openxmlformats.org/officeDocument/2006/relationships/hyperlink" Target="https://www.rbi.org.in/Scripts/BS_PressReleaseDisplay.aspx?prid=51078" TargetMode="External"/><Relationship Id="rId19" Type="http://schemas.openxmlformats.org/officeDocument/2006/relationships/hyperlink" Target="https://rbi.org.in/Scripts/NotificationUser.aspx?Id=12006&amp;Mode=0" TargetMode="External"/><Relationship Id="rId14" Type="http://schemas.openxmlformats.org/officeDocument/2006/relationships/hyperlink" Target="https://www.rbi.org.in/Scripts/NotificationUser.aspx?Id=12061&amp;Mode=0" TargetMode="External"/><Relationship Id="rId22" Type="http://schemas.openxmlformats.org/officeDocument/2006/relationships/hyperlink" Target="https://www.rbi.org.in/Scripts/NotificationUser.aspx?Id=1020&amp;Mode=0" TargetMode="External"/><Relationship Id="rId27" Type="http://schemas.openxmlformats.org/officeDocument/2006/relationships/hyperlink" Target="https://www.rbi.org.in/Scripts/BS_PressReleaseDisplay.aspx?prid=51684" TargetMode="External"/><Relationship Id="rId30" Type="http://schemas.openxmlformats.org/officeDocument/2006/relationships/hyperlink" Target="https://www.rbi.org.in/Scripts/BS_PressReleaseDisplay.aspx?prid=47408" TargetMode="External"/><Relationship Id="rId35" Type="http://schemas.openxmlformats.org/officeDocument/2006/relationships/hyperlink" Target="https://www.rbi.org.in/Scripts/BS_PressReleaseDisplay.aspx?prid=51684" TargetMode="External"/><Relationship Id="rId43" Type="http://schemas.openxmlformats.org/officeDocument/2006/relationships/hyperlink" Target="https://www.rbi.org.in/Scripts/NotificationUser.aspx?Id=12049&amp;Mode=0" TargetMode="External"/><Relationship Id="rId48" Type="http://schemas.openxmlformats.org/officeDocument/2006/relationships/hyperlink" Target="https://www.rbi.org.in/Scripts/BS_FemaNotifications.aspx?Id=2126" TargetMode="External"/><Relationship Id="rId56" Type="http://schemas.openxmlformats.org/officeDocument/2006/relationships/hyperlink" Target="https://rbidocs.rbi.org.in/rdocs/content/pdfs/396FEMA17102019.pdf" TargetMode="External"/><Relationship Id="rId64" Type="http://schemas.openxmlformats.org/officeDocument/2006/relationships/hyperlink" Target="https://www.rbi.org.in/Scripts/BS_ViewMasCirculardetails.aspx?id=9908" TargetMode="External"/><Relationship Id="rId69" Type="http://schemas.openxmlformats.org/officeDocument/2006/relationships/hyperlink" Target="https://bop.rbi.org.in/" TargetMode="External"/><Relationship Id="rId77" Type="http://schemas.openxmlformats.org/officeDocument/2006/relationships/hyperlink" Target="https://www.rbi.org.in/Scripts/NotificationUser.aspx?Id=10147&amp;Mode=0" TargetMode="External"/><Relationship Id="rId100" Type="http://schemas.openxmlformats.org/officeDocument/2006/relationships/hyperlink" Target="https://www.rbi.org.in/Scripts/NotificationUser.aspx?Id=11971&amp;Mode=0" TargetMode="External"/><Relationship Id="rId105" Type="http://schemas.openxmlformats.org/officeDocument/2006/relationships/hyperlink" Target="https://www.rbi.org.in/Scripts/BS_ViewMasCirculardetails.aspx?id=9859" TargetMode="External"/><Relationship Id="rId113" Type="http://schemas.openxmlformats.org/officeDocument/2006/relationships/hyperlink" Target="https://www.rbi.org.in/Scripts/BS_ViewMasCirculardetails.aspx?id=9859" TargetMode="External"/><Relationship Id="rId118" Type="http://schemas.openxmlformats.org/officeDocument/2006/relationships/fontTable" Target="fontTable.xml"/><Relationship Id="rId8" Type="http://schemas.openxmlformats.org/officeDocument/2006/relationships/hyperlink" Target="https://rbi.org.in/Scripts/NotificationUser.aspx?Id=10495&amp;Mode=0" TargetMode="External"/><Relationship Id="rId51" Type="http://schemas.openxmlformats.org/officeDocument/2006/relationships/hyperlink" Target="https://www.rbi.org.in/scripts/NotificationUser.aspx?Id=3334&amp;Mode=0" TargetMode="External"/><Relationship Id="rId72" Type="http://schemas.openxmlformats.org/officeDocument/2006/relationships/hyperlink" Target="mailto:bkccard@rbi.org.in" TargetMode="External"/><Relationship Id="rId80" Type="http://schemas.openxmlformats.org/officeDocument/2006/relationships/hyperlink" Target="https://www.rbi.org.in/Scripts/NotificationUser.aspx?Id=11303&amp;Mode=0" TargetMode="External"/><Relationship Id="rId85" Type="http://schemas.openxmlformats.org/officeDocument/2006/relationships/hyperlink" Target="https://www.rbi.org.in/Scripts/NotificationUser.aspx?Id=12032&amp;Mode=0" TargetMode="External"/><Relationship Id="rId93" Type="http://schemas.openxmlformats.org/officeDocument/2006/relationships/hyperlink" Target="https://www.rbi.org.in/Scripts/NotificationUser.aspx?Id=12032&amp;Mode=0" TargetMode="External"/><Relationship Id="rId98" Type="http://schemas.openxmlformats.org/officeDocument/2006/relationships/hyperlink" Target="https://rbidocs.rbi.org.in/rdocs/content/pdfs/AnnexI_15022021.pdf" TargetMode="External"/><Relationship Id="rId3" Type="http://schemas.openxmlformats.org/officeDocument/2006/relationships/settings" Target="settings.xml"/><Relationship Id="rId12" Type="http://schemas.openxmlformats.org/officeDocument/2006/relationships/hyperlink" Target="https://rbi.org.in/Scripts/BS_PressReleaseDisplay.aspx?prid=32615" TargetMode="External"/><Relationship Id="rId17" Type="http://schemas.openxmlformats.org/officeDocument/2006/relationships/hyperlink" Target="https://rbi.org.in/Scripts/NotificationUser.aspx?Id=10495&amp;Mode=0" TargetMode="External"/><Relationship Id="rId25" Type="http://schemas.openxmlformats.org/officeDocument/2006/relationships/hyperlink" Target="https://www.rbi.org.in/Scripts/BS_PressReleaseDisplay.aspx?prid=47226" TargetMode="External"/><Relationship Id="rId33" Type="http://schemas.openxmlformats.org/officeDocument/2006/relationships/hyperlink" Target="https://www.rbi.org.in/Scripts/NotificationUser.aspx?Id=12108&amp;Mode=0" TargetMode="External"/><Relationship Id="rId38" Type="http://schemas.openxmlformats.org/officeDocument/2006/relationships/hyperlink" Target="https://rbidocs.rbi.org.in/rdocs/content/pdfs/FEMA3(R)224052021.pdf" TargetMode="External"/><Relationship Id="rId46" Type="http://schemas.openxmlformats.org/officeDocument/2006/relationships/hyperlink" Target="https://www.rbi.org.in/Scripts/BS_ViewMasDirections.aspx?id=10637" TargetMode="External"/><Relationship Id="rId59" Type="http://schemas.openxmlformats.org/officeDocument/2006/relationships/hyperlink" Target="https://www.rbi.org.in/Scripts/NotificationUser.aspx?Id=12049&amp;Mode=0" TargetMode="External"/><Relationship Id="rId67" Type="http://schemas.openxmlformats.org/officeDocument/2006/relationships/hyperlink" Target="https://rbidocs.rbi.org.in/rdocs/content/pdfs/BILA30032021_A4.pdf" TargetMode="External"/><Relationship Id="rId103" Type="http://schemas.openxmlformats.org/officeDocument/2006/relationships/hyperlink" Target="https://www.rbi.org.in/Scripts/NotificationUser.aspx?Id=11982&amp;Mode=0" TargetMode="External"/><Relationship Id="rId108" Type="http://schemas.openxmlformats.org/officeDocument/2006/relationships/hyperlink" Target="https://www.rbi.org.in/Scripts/BS_PressReleaseDisplay.aspx?prid=50427" TargetMode="External"/><Relationship Id="rId116" Type="http://schemas.openxmlformats.org/officeDocument/2006/relationships/hyperlink" Target="https://www.fedai.org.in/DocumentUploadFiles/SpecialCircular/SPL-01.2021dt.09March2021.pdf" TargetMode="External"/><Relationship Id="rId20" Type="http://schemas.openxmlformats.org/officeDocument/2006/relationships/hyperlink" Target="https://www.rbi.org.in/Scripts/NotificationUser.aspx?Id=12061&amp;Mode=0" TargetMode="External"/><Relationship Id="rId41" Type="http://schemas.openxmlformats.org/officeDocument/2006/relationships/hyperlink" Target="https://www.rbi.org.in/Scripts/NotificationUser.aspx?Id=11850&amp;Mode=0" TargetMode="External"/><Relationship Id="rId54" Type="http://schemas.openxmlformats.org/officeDocument/2006/relationships/hyperlink" Target="https://www.rbi.org.in/scripts/NotificationUser.aspx?Id=9624&amp;Mode=0" TargetMode="External"/><Relationship Id="rId62" Type="http://schemas.openxmlformats.org/officeDocument/2006/relationships/hyperlink" Target="https://www.rbi.org.in/Scripts/NotificationUser.aspx?Id=11278&amp;Mode=0" TargetMode="External"/><Relationship Id="rId70" Type="http://schemas.openxmlformats.org/officeDocument/2006/relationships/hyperlink" Target="https://rbidocs.rbi.org.in/rdocs/content/pdfs/NT113_25032021.pdf" TargetMode="External"/><Relationship Id="rId75" Type="http://schemas.openxmlformats.org/officeDocument/2006/relationships/hyperlink" Target="https://rbi.org.in/Scripts/NotificationUser.aspx?Id=11941&amp;Mode=0" TargetMode="External"/><Relationship Id="rId83" Type="http://schemas.openxmlformats.org/officeDocument/2006/relationships/hyperlink" Target="https://www.rbi.org.in/Scripts/NotificationUser.aspx?Id=12032&amp;Mode=0" TargetMode="External"/><Relationship Id="rId88" Type="http://schemas.openxmlformats.org/officeDocument/2006/relationships/hyperlink" Target="https://www.rbi.org.in/Scripts/NotificationUser.aspx?Id=12032&amp;Mode=0" TargetMode="External"/><Relationship Id="rId91" Type="http://schemas.openxmlformats.org/officeDocument/2006/relationships/hyperlink" Target="https://www.rbi.org.in/Scripts/NotificationUser.aspx?Id=12032&amp;Mode=0" TargetMode="External"/><Relationship Id="rId96" Type="http://schemas.openxmlformats.org/officeDocument/2006/relationships/hyperlink" Target="https://www.rbi.org.in/Scripts/BS_PressReleaseDisplay.aspx?prid=51077" TargetMode="External"/><Relationship Id="rId111" Type="http://schemas.openxmlformats.org/officeDocument/2006/relationships/hyperlink" Target="https://www.rbi.org.in/Scripts/BS_PressReleaseDisplay.aspx?prid=51078" TargetMode="External"/><Relationship Id="rId1" Type="http://schemas.openxmlformats.org/officeDocument/2006/relationships/numbering" Target="numbering.xml"/><Relationship Id="rId6" Type="http://schemas.openxmlformats.org/officeDocument/2006/relationships/hyperlink" Target="https://rbi.org.in/Scripts/BS_PressReleaseDisplay.aspx?prid=47225" TargetMode="External"/><Relationship Id="rId15" Type="http://schemas.openxmlformats.org/officeDocument/2006/relationships/hyperlink" Target="mailto:reportfmd@rbi.org.in" TargetMode="External"/><Relationship Id="rId23" Type="http://schemas.openxmlformats.org/officeDocument/2006/relationships/hyperlink" Target="https://www.rbi.org.in/Scripts/NotificationUser.aspx?Id=1020&amp;Mode=0" TargetMode="External"/><Relationship Id="rId28" Type="http://schemas.openxmlformats.org/officeDocument/2006/relationships/hyperlink" Target="https://www.rbi.org.in/Scripts/BS_PressReleaseDisplay.aspx?prid=51683" TargetMode="External"/><Relationship Id="rId36" Type="http://schemas.openxmlformats.org/officeDocument/2006/relationships/hyperlink" Target="https://www.rbi.org.in/Scripts/BS_PressReleaseDisplay.aspx?prid=51683" TargetMode="External"/><Relationship Id="rId49" Type="http://schemas.openxmlformats.org/officeDocument/2006/relationships/hyperlink" Target="https://www.rbi.org.in/Scripts/BS_ViewMasDirections.aspx?id=10637" TargetMode="External"/><Relationship Id="rId57" Type="http://schemas.openxmlformats.org/officeDocument/2006/relationships/hyperlink" Target="https://www.rbi.org.in/Scripts/NotificationUser.aspx?Id=11866&amp;Mode=0" TargetMode="External"/><Relationship Id="rId106" Type="http://schemas.openxmlformats.org/officeDocument/2006/relationships/hyperlink" Target="https://www.rbi.org.in/Scripts/NotificationUser.aspx?Id=11838&amp;Mode=0" TargetMode="External"/><Relationship Id="rId114" Type="http://schemas.openxmlformats.org/officeDocument/2006/relationships/hyperlink" Target="https://www.fedai.org.in/DocumentUploadFiles/SpecialCircular/SPL-01.2021dt.09March2021.pdf" TargetMode="External"/><Relationship Id="rId119" Type="http://schemas.openxmlformats.org/officeDocument/2006/relationships/theme" Target="theme/theme1.xml"/><Relationship Id="rId10" Type="http://schemas.openxmlformats.org/officeDocument/2006/relationships/hyperlink" Target="https://rbi.org.in/Scripts/NotificationUser.aspx?Id=12006&amp;Mode=0" TargetMode="External"/><Relationship Id="rId31" Type="http://schemas.openxmlformats.org/officeDocument/2006/relationships/hyperlink" Target="https://www.rbi.org.in/Scripts/BS_PressReleaseDisplay.aspx?prid=32614" TargetMode="External"/><Relationship Id="rId44" Type="http://schemas.openxmlformats.org/officeDocument/2006/relationships/hyperlink" Target="https://www.rbi.org.in/Scripts/NotificationUser.aspx?Id=11849&amp;Mode=0" TargetMode="External"/><Relationship Id="rId52" Type="http://schemas.openxmlformats.org/officeDocument/2006/relationships/hyperlink" Target="https://www.rbi.org.in/scripts/NotificationUser.aspx?Id=6357&amp;Mode=0" TargetMode="External"/><Relationship Id="rId60" Type="http://schemas.openxmlformats.org/officeDocument/2006/relationships/hyperlink" Target="https://www.rbi.org.in/Scripts/BS_ViewMasCirculardetails.aspx?id=9859" TargetMode="External"/><Relationship Id="rId65" Type="http://schemas.openxmlformats.org/officeDocument/2006/relationships/hyperlink" Target="https://rbidocs.rbi.org.in/rdocs/content/pdfs/BILA30032021_A3.pdf" TargetMode="External"/><Relationship Id="rId73" Type="http://schemas.openxmlformats.org/officeDocument/2006/relationships/hyperlink" Target="https://rbi.org.in/Scripts/NotificationUser.aspx?Id=11827&amp;Mode=0" TargetMode="External"/><Relationship Id="rId78" Type="http://schemas.openxmlformats.org/officeDocument/2006/relationships/hyperlink" Target="https://www.rbi.org.in/Scripts/NotificationUser.aspx?Id=11303&amp;Mode=0" TargetMode="External"/><Relationship Id="rId81" Type="http://schemas.openxmlformats.org/officeDocument/2006/relationships/hyperlink" Target="https://www.rbi.org.in/Scripts/NotificationUser.aspx?Id=11303&amp;Mode=0" TargetMode="External"/><Relationship Id="rId86" Type="http://schemas.openxmlformats.org/officeDocument/2006/relationships/hyperlink" Target="https://www.rbi.org.in/Scripts/NotificationUser.aspx?Id=12032&amp;Mode=0" TargetMode="External"/><Relationship Id="rId94" Type="http://schemas.openxmlformats.org/officeDocument/2006/relationships/hyperlink" Target="https://www.rbi.org.in/Scripts/NotificationUser.aspx?Id=8914&amp;Mode=0" TargetMode="External"/><Relationship Id="rId99" Type="http://schemas.openxmlformats.org/officeDocument/2006/relationships/hyperlink" Target="https://www.rbi.org.in/Scripts/NotificationUser.aspx?Id=11278&amp;Mode=0" TargetMode="External"/><Relationship Id="rId101" Type="http://schemas.openxmlformats.org/officeDocument/2006/relationships/hyperlink" Target="https://www.rbi.org.in/Scripts/BS_PressReleaseDisplay.aspx?prid=51078" TargetMode="External"/><Relationship Id="rId4" Type="http://schemas.openxmlformats.org/officeDocument/2006/relationships/webSettings" Target="webSettings.xml"/><Relationship Id="rId9" Type="http://schemas.openxmlformats.org/officeDocument/2006/relationships/hyperlink" Target="https://rbi.org.in/Scripts/NotificationUser.aspx?Id=11405&amp;Mode=0" TargetMode="External"/><Relationship Id="rId13" Type="http://schemas.openxmlformats.org/officeDocument/2006/relationships/hyperlink" Target="https://rbi.org.in/Scripts/BS_PressReleaseDisplay.aspx?prid=32614" TargetMode="External"/><Relationship Id="rId18" Type="http://schemas.openxmlformats.org/officeDocument/2006/relationships/hyperlink" Target="https://rbi.org.in/Scripts/NotificationUser.aspx?Id=11405&amp;Mode=0" TargetMode="External"/><Relationship Id="rId39" Type="http://schemas.openxmlformats.org/officeDocument/2006/relationships/hyperlink" Target="https://www.rbi.org.in/Scripts/NotificationUser.aspx?Id=12099&amp;Mode=0" TargetMode="External"/><Relationship Id="rId109" Type="http://schemas.openxmlformats.org/officeDocument/2006/relationships/hyperlink" Target="https://www.rbi.org.in/Scripts/BS_PressReleaseDisplay.aspx?prid=51078" TargetMode="External"/><Relationship Id="rId34" Type="http://schemas.openxmlformats.org/officeDocument/2006/relationships/hyperlink" Target="https://www.rbi.org.in/Scripts/NotificationUser.aspx?Id=12108&amp;Mode=0" TargetMode="External"/><Relationship Id="rId50" Type="http://schemas.openxmlformats.org/officeDocument/2006/relationships/hyperlink" Target="https://www.rbi.org.in/scripts/NotificationUser.aspx?Id=2918&amp;Mode=0" TargetMode="External"/><Relationship Id="rId55" Type="http://schemas.openxmlformats.org/officeDocument/2006/relationships/hyperlink" Target="https://www.rbi.org.in/Scripts/NotificationUser.aspx?Id=12070&amp;Mode=0" TargetMode="External"/><Relationship Id="rId76" Type="http://schemas.openxmlformats.org/officeDocument/2006/relationships/hyperlink" Target="https://rbidocs.rbi.org.in/rdocs/content/pdfs/396FEMA17102019.pdf" TargetMode="External"/><Relationship Id="rId97" Type="http://schemas.openxmlformats.org/officeDocument/2006/relationships/hyperlink" Target="https://www.rbi.org.in/Scripts/BS_ViewMasDirections.aspx?id=10192" TargetMode="External"/><Relationship Id="rId104" Type="http://schemas.openxmlformats.org/officeDocument/2006/relationships/hyperlink" Target="https://www.rbi.org.in/Scripts/NotificationUser.aspx?Id=11970&amp;Mode=0" TargetMode="External"/><Relationship Id="rId7" Type="http://schemas.openxmlformats.org/officeDocument/2006/relationships/hyperlink" Target="https://www.rbi.org.in/Scripts/NotificationUser.aspx?Id=12061&amp;Mode=0" TargetMode="External"/><Relationship Id="rId71" Type="http://schemas.openxmlformats.org/officeDocument/2006/relationships/hyperlink" Target="https://bop.rbi.org.in/" TargetMode="External"/><Relationship Id="rId92" Type="http://schemas.openxmlformats.org/officeDocument/2006/relationships/hyperlink" Target="https://www.rbi.org.in/Scripts/NotificationUser.aspx?Id=12032&amp;Mode=0" TargetMode="External"/><Relationship Id="rId2" Type="http://schemas.openxmlformats.org/officeDocument/2006/relationships/styles" Target="styles.xml"/><Relationship Id="rId29" Type="http://schemas.openxmlformats.org/officeDocument/2006/relationships/hyperlink" Target="https://www.rbi.org.in/Scripts/BS_PressReleaseDisplay.aspx?prid=5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21744</Words>
  <Characters>123947</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5</cp:revision>
  <dcterms:created xsi:type="dcterms:W3CDTF">2021-07-16T23:24:00Z</dcterms:created>
  <dcterms:modified xsi:type="dcterms:W3CDTF">2021-07-19T07:22:00Z</dcterms:modified>
</cp:coreProperties>
</file>