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BDC9CA" w14:textId="371239EA" w:rsidR="00F41345" w:rsidRDefault="00F41345" w:rsidP="00F41345">
      <w:pPr>
        <w:jc w:val="center"/>
        <w:rPr>
          <w:rFonts w:ascii="Arial" w:hAnsi="Arial" w:cs="Arial"/>
          <w:b/>
          <w:bCs/>
          <w:color w:val="000000"/>
          <w:sz w:val="20"/>
          <w:szCs w:val="20"/>
        </w:rPr>
      </w:pPr>
      <w:r w:rsidRPr="00F41345">
        <w:rPr>
          <w:rFonts w:ascii="Arial" w:hAnsi="Arial" w:cs="Arial"/>
          <w:b/>
          <w:bCs/>
          <w:color w:val="000000"/>
          <w:sz w:val="20"/>
          <w:szCs w:val="20"/>
        </w:rPr>
        <w:t>Certificate Course on Resolution of Stressed Assets with Special Emphasis on Insolvency &amp; Bankruptcy Code,2016 for Bankers</w:t>
      </w:r>
    </w:p>
    <w:tbl>
      <w:tblPr>
        <w:tblStyle w:val="TableGrid"/>
        <w:tblW w:w="0" w:type="auto"/>
        <w:tblLook w:val="04A0" w:firstRow="1" w:lastRow="0" w:firstColumn="1" w:lastColumn="0" w:noHBand="0" w:noVBand="1"/>
      </w:tblPr>
      <w:tblGrid>
        <w:gridCol w:w="747"/>
        <w:gridCol w:w="8269"/>
      </w:tblGrid>
      <w:tr w:rsidR="00F41345" w14:paraId="03669F0D" w14:textId="77777777" w:rsidTr="00F41345">
        <w:tc>
          <w:tcPr>
            <w:tcW w:w="704" w:type="dxa"/>
          </w:tcPr>
          <w:p w14:paraId="51C31244" w14:textId="5B37D77A" w:rsidR="00F41345" w:rsidRPr="00F41345" w:rsidRDefault="00F41345" w:rsidP="00F41345">
            <w:pPr>
              <w:jc w:val="center"/>
              <w:rPr>
                <w:rFonts w:ascii="Arial" w:hAnsi="Arial" w:cs="Arial"/>
                <w:b/>
                <w:bCs/>
                <w:color w:val="000000"/>
                <w:sz w:val="18"/>
                <w:szCs w:val="18"/>
              </w:rPr>
            </w:pPr>
            <w:proofErr w:type="spellStart"/>
            <w:r w:rsidRPr="00F41345">
              <w:rPr>
                <w:rFonts w:ascii="Arial" w:hAnsi="Arial" w:cs="Arial"/>
                <w:b/>
                <w:bCs/>
                <w:color w:val="000000"/>
                <w:sz w:val="18"/>
                <w:szCs w:val="18"/>
              </w:rPr>
              <w:t>Sr.No</w:t>
            </w:r>
            <w:proofErr w:type="spellEnd"/>
            <w:r w:rsidRPr="00F41345">
              <w:rPr>
                <w:rFonts w:ascii="Arial" w:hAnsi="Arial" w:cs="Arial"/>
                <w:b/>
                <w:bCs/>
                <w:color w:val="000000"/>
                <w:sz w:val="18"/>
                <w:szCs w:val="18"/>
              </w:rPr>
              <w:t>.</w:t>
            </w:r>
          </w:p>
        </w:tc>
        <w:tc>
          <w:tcPr>
            <w:tcW w:w="8312" w:type="dxa"/>
          </w:tcPr>
          <w:p w14:paraId="43A09AFC" w14:textId="11768F4B" w:rsidR="00F41345" w:rsidRPr="00F41345" w:rsidRDefault="00F41345" w:rsidP="00F41345">
            <w:pPr>
              <w:jc w:val="center"/>
              <w:rPr>
                <w:rFonts w:ascii="Arial" w:hAnsi="Arial" w:cs="Arial"/>
                <w:b/>
                <w:bCs/>
                <w:color w:val="000000"/>
                <w:sz w:val="18"/>
                <w:szCs w:val="18"/>
              </w:rPr>
            </w:pPr>
            <w:r w:rsidRPr="00F41345">
              <w:rPr>
                <w:rFonts w:ascii="Arial" w:hAnsi="Arial" w:cs="Arial"/>
                <w:b/>
                <w:bCs/>
                <w:color w:val="000000"/>
                <w:sz w:val="18"/>
                <w:szCs w:val="18"/>
              </w:rPr>
              <w:t>RBI Notifications</w:t>
            </w:r>
          </w:p>
        </w:tc>
      </w:tr>
      <w:tr w:rsidR="00F41345" w14:paraId="0B19DAEA" w14:textId="77777777" w:rsidTr="00924AC5">
        <w:tc>
          <w:tcPr>
            <w:tcW w:w="704" w:type="dxa"/>
          </w:tcPr>
          <w:p w14:paraId="12F05F9C" w14:textId="0C63E24D" w:rsidR="00F41345" w:rsidRPr="00F41345" w:rsidRDefault="00F41345" w:rsidP="00F41345">
            <w:pPr>
              <w:jc w:val="center"/>
              <w:rPr>
                <w:rFonts w:cstheme="minorHAnsi"/>
                <w:bCs/>
                <w:color w:val="000000"/>
                <w:sz w:val="20"/>
                <w:szCs w:val="20"/>
              </w:rPr>
            </w:pPr>
            <w:r w:rsidRPr="00F41345">
              <w:rPr>
                <w:rFonts w:cstheme="minorHAnsi"/>
                <w:bCs/>
                <w:color w:val="000000"/>
                <w:sz w:val="20"/>
                <w:szCs w:val="20"/>
              </w:rPr>
              <w:t>1</w:t>
            </w:r>
          </w:p>
        </w:tc>
        <w:tc>
          <w:tcPr>
            <w:tcW w:w="8312" w:type="dxa"/>
            <w:tcBorders>
              <w:top w:val="single" w:sz="4" w:space="0" w:color="auto"/>
              <w:left w:val="single" w:sz="4" w:space="0" w:color="auto"/>
              <w:bottom w:val="single" w:sz="4" w:space="0" w:color="auto"/>
              <w:right w:val="single" w:sz="4" w:space="0" w:color="auto"/>
            </w:tcBorders>
            <w:shd w:val="clear" w:color="auto" w:fill="auto"/>
            <w:vAlign w:val="center"/>
          </w:tcPr>
          <w:p w14:paraId="2A90ABC1" w14:textId="25646B68" w:rsidR="00F41345" w:rsidRDefault="00F41345" w:rsidP="00F41345">
            <w:pPr>
              <w:rPr>
                <w:rFonts w:ascii="Arial" w:hAnsi="Arial" w:cs="Arial"/>
                <w:b/>
                <w:bCs/>
                <w:color w:val="000000"/>
                <w:sz w:val="20"/>
                <w:szCs w:val="20"/>
              </w:rPr>
            </w:pPr>
            <w:r>
              <w:rPr>
                <w:rFonts w:ascii="Calibri" w:hAnsi="Calibri" w:cs="Calibri"/>
                <w:sz w:val="20"/>
                <w:szCs w:val="20"/>
              </w:rPr>
              <w:t>Data Format for Furnishing of Credit Information to Credit Information Companies</w:t>
            </w:r>
          </w:p>
        </w:tc>
      </w:tr>
      <w:tr w:rsidR="00F41345" w14:paraId="33B75945" w14:textId="77777777" w:rsidTr="00924AC5">
        <w:tc>
          <w:tcPr>
            <w:tcW w:w="704" w:type="dxa"/>
          </w:tcPr>
          <w:p w14:paraId="79F007A4" w14:textId="6EED6455" w:rsidR="00F41345" w:rsidRPr="00F41345" w:rsidRDefault="00F41345" w:rsidP="00F41345">
            <w:pPr>
              <w:jc w:val="center"/>
              <w:rPr>
                <w:rFonts w:cstheme="minorHAnsi"/>
                <w:bCs/>
                <w:color w:val="000000"/>
                <w:sz w:val="20"/>
                <w:szCs w:val="20"/>
              </w:rPr>
            </w:pPr>
            <w:r w:rsidRPr="00F41345">
              <w:rPr>
                <w:rFonts w:cstheme="minorHAnsi"/>
                <w:bCs/>
                <w:color w:val="000000"/>
                <w:sz w:val="20"/>
                <w:szCs w:val="20"/>
              </w:rPr>
              <w:t>2</w:t>
            </w:r>
          </w:p>
        </w:tc>
        <w:tc>
          <w:tcPr>
            <w:tcW w:w="8312" w:type="dxa"/>
            <w:tcBorders>
              <w:top w:val="nil"/>
              <w:left w:val="single" w:sz="4" w:space="0" w:color="auto"/>
              <w:bottom w:val="single" w:sz="4" w:space="0" w:color="auto"/>
              <w:right w:val="single" w:sz="4" w:space="0" w:color="auto"/>
            </w:tcBorders>
            <w:shd w:val="clear" w:color="auto" w:fill="auto"/>
            <w:vAlign w:val="center"/>
          </w:tcPr>
          <w:p w14:paraId="0862071B" w14:textId="18793419" w:rsidR="00F41345" w:rsidRDefault="00F41345" w:rsidP="00F41345">
            <w:pPr>
              <w:rPr>
                <w:rFonts w:ascii="Arial" w:hAnsi="Arial" w:cs="Arial"/>
                <w:b/>
                <w:bCs/>
                <w:color w:val="000000"/>
                <w:sz w:val="20"/>
                <w:szCs w:val="20"/>
              </w:rPr>
            </w:pPr>
            <w:r>
              <w:rPr>
                <w:rFonts w:ascii="Calibri" w:hAnsi="Calibri" w:cs="Calibri"/>
                <w:sz w:val="20"/>
                <w:szCs w:val="20"/>
              </w:rPr>
              <w:t>Master Direction – Reserve Bank of India (Transfer of Loan Exposures) Directions, 2021</w:t>
            </w:r>
          </w:p>
        </w:tc>
      </w:tr>
      <w:tr w:rsidR="00F41345" w14:paraId="44945F94" w14:textId="77777777" w:rsidTr="00924AC5">
        <w:tc>
          <w:tcPr>
            <w:tcW w:w="704" w:type="dxa"/>
          </w:tcPr>
          <w:p w14:paraId="1BE88A54" w14:textId="242F1235" w:rsidR="00F41345" w:rsidRPr="00F41345" w:rsidRDefault="00F41345" w:rsidP="00F41345">
            <w:pPr>
              <w:jc w:val="center"/>
              <w:rPr>
                <w:rFonts w:cstheme="minorHAnsi"/>
                <w:bCs/>
                <w:color w:val="000000"/>
                <w:sz w:val="20"/>
                <w:szCs w:val="20"/>
              </w:rPr>
            </w:pPr>
            <w:r w:rsidRPr="00F41345">
              <w:rPr>
                <w:rFonts w:cstheme="minorHAnsi"/>
                <w:bCs/>
                <w:color w:val="000000"/>
                <w:sz w:val="20"/>
                <w:szCs w:val="20"/>
              </w:rPr>
              <w:t>3</w:t>
            </w:r>
          </w:p>
        </w:tc>
        <w:tc>
          <w:tcPr>
            <w:tcW w:w="8312" w:type="dxa"/>
            <w:tcBorders>
              <w:top w:val="nil"/>
              <w:left w:val="single" w:sz="4" w:space="0" w:color="auto"/>
              <w:bottom w:val="single" w:sz="4" w:space="0" w:color="auto"/>
              <w:right w:val="single" w:sz="4" w:space="0" w:color="auto"/>
            </w:tcBorders>
            <w:shd w:val="clear" w:color="auto" w:fill="auto"/>
            <w:vAlign w:val="center"/>
          </w:tcPr>
          <w:p w14:paraId="430F7F53" w14:textId="7CD06936" w:rsidR="00F41345" w:rsidRDefault="00F41345" w:rsidP="00F41345">
            <w:pPr>
              <w:rPr>
                <w:rFonts w:ascii="Arial" w:hAnsi="Arial" w:cs="Arial"/>
                <w:b/>
                <w:bCs/>
                <w:color w:val="000000"/>
                <w:sz w:val="20"/>
                <w:szCs w:val="20"/>
              </w:rPr>
            </w:pPr>
            <w:r>
              <w:rPr>
                <w:rFonts w:ascii="Calibri" w:hAnsi="Calibri" w:cs="Calibri"/>
                <w:sz w:val="20"/>
                <w:szCs w:val="20"/>
              </w:rPr>
              <w:t>Master Direction – Reserve Bank of India (Securitisation of Standard Assets) Directions, 2021</w:t>
            </w:r>
          </w:p>
        </w:tc>
      </w:tr>
      <w:tr w:rsidR="00F41345" w14:paraId="1137B845" w14:textId="77777777" w:rsidTr="00924AC5">
        <w:tc>
          <w:tcPr>
            <w:tcW w:w="704" w:type="dxa"/>
          </w:tcPr>
          <w:p w14:paraId="0B239519" w14:textId="3CDA4283" w:rsidR="00F41345" w:rsidRPr="00F41345" w:rsidRDefault="00F41345" w:rsidP="00F41345">
            <w:pPr>
              <w:jc w:val="center"/>
              <w:rPr>
                <w:rFonts w:cstheme="minorHAnsi"/>
                <w:bCs/>
                <w:color w:val="000000"/>
                <w:sz w:val="20"/>
                <w:szCs w:val="20"/>
              </w:rPr>
            </w:pPr>
            <w:r w:rsidRPr="00F41345">
              <w:rPr>
                <w:rFonts w:cstheme="minorHAnsi"/>
                <w:bCs/>
                <w:color w:val="000000"/>
                <w:sz w:val="20"/>
                <w:szCs w:val="20"/>
              </w:rPr>
              <w:t>4</w:t>
            </w:r>
          </w:p>
        </w:tc>
        <w:tc>
          <w:tcPr>
            <w:tcW w:w="8312" w:type="dxa"/>
            <w:tcBorders>
              <w:top w:val="nil"/>
              <w:left w:val="single" w:sz="4" w:space="0" w:color="auto"/>
              <w:bottom w:val="single" w:sz="4" w:space="0" w:color="auto"/>
              <w:right w:val="single" w:sz="4" w:space="0" w:color="auto"/>
            </w:tcBorders>
            <w:shd w:val="clear" w:color="auto" w:fill="auto"/>
            <w:vAlign w:val="center"/>
          </w:tcPr>
          <w:p w14:paraId="6F1B9BDF" w14:textId="62613D6B" w:rsidR="00F41345" w:rsidRDefault="00F41345" w:rsidP="00F41345">
            <w:pPr>
              <w:rPr>
                <w:rFonts w:ascii="Arial" w:hAnsi="Arial" w:cs="Arial"/>
                <w:b/>
                <w:bCs/>
                <w:color w:val="000000"/>
                <w:sz w:val="20"/>
                <w:szCs w:val="20"/>
              </w:rPr>
            </w:pPr>
            <w:r>
              <w:rPr>
                <w:rFonts w:ascii="Calibri" w:hAnsi="Calibri" w:cs="Calibri"/>
                <w:sz w:val="20"/>
                <w:szCs w:val="20"/>
              </w:rPr>
              <w:t>Notification as ‘Financial Institution’ under Section 2(1)(m)(iv) of Securitisation and Reconstruction of Financial Assets and Enforcement of Security Interest Act, 2002 (SARFAESI Act)</w:t>
            </w:r>
          </w:p>
        </w:tc>
      </w:tr>
    </w:tbl>
    <w:p w14:paraId="514488C5" w14:textId="4D3FC156" w:rsidR="00F41345" w:rsidRDefault="00F41345" w:rsidP="00F41345">
      <w:pPr>
        <w:rPr>
          <w:rFonts w:ascii="Arial" w:hAnsi="Arial" w:cs="Arial"/>
          <w:b/>
          <w:bCs/>
          <w:color w:val="000000"/>
          <w:sz w:val="20"/>
          <w:szCs w:val="20"/>
        </w:rPr>
      </w:pPr>
    </w:p>
    <w:p w14:paraId="37445226" w14:textId="1C5A0B7F" w:rsidR="00F41345" w:rsidRDefault="00F41345" w:rsidP="002F7192">
      <w:pPr>
        <w:rPr>
          <w:rFonts w:ascii="Arial" w:hAnsi="Arial" w:cs="Arial"/>
          <w:b/>
          <w:bCs/>
          <w:color w:val="000000"/>
          <w:sz w:val="20"/>
          <w:szCs w:val="20"/>
        </w:rPr>
      </w:pPr>
      <w:bookmarkStart w:id="0" w:name="_GoBack"/>
      <w:bookmarkEnd w:id="0"/>
    </w:p>
    <w:p w14:paraId="6671110B" w14:textId="39F2EB94" w:rsidR="002F7192" w:rsidRDefault="002F7192" w:rsidP="002F7192">
      <w:pPr>
        <w:rPr>
          <w:rFonts w:ascii="Arial" w:hAnsi="Arial" w:cs="Arial"/>
          <w:b/>
          <w:bCs/>
          <w:color w:val="000000"/>
          <w:sz w:val="20"/>
          <w:szCs w:val="20"/>
        </w:rPr>
      </w:pPr>
      <w:r>
        <w:rPr>
          <w:rFonts w:ascii="Arial" w:hAnsi="Arial" w:cs="Arial"/>
          <w:b/>
          <w:bCs/>
          <w:color w:val="000000"/>
          <w:sz w:val="20"/>
          <w:szCs w:val="20"/>
        </w:rPr>
        <w:t>Data Format for Furnishing of Credit Information to Credit Information Companies</w:t>
      </w:r>
    </w:p>
    <w:p w14:paraId="1AA7CFAE" w14:textId="77777777" w:rsidR="002F7192" w:rsidRPr="00006BA6" w:rsidRDefault="002F7192" w:rsidP="002F7192">
      <w:r w:rsidRPr="00006BA6">
        <w:t>RBI/2021-22/111</w:t>
      </w:r>
      <w:r w:rsidRPr="00006BA6">
        <w:br/>
        <w:t>DoR.FIN.REC.59/20.16.056/2021-22</w:t>
      </w:r>
    </w:p>
    <w:p w14:paraId="32D70347" w14:textId="77777777" w:rsidR="002F7192" w:rsidRPr="00006BA6" w:rsidRDefault="002F7192" w:rsidP="002F7192">
      <w:r w:rsidRPr="00006BA6">
        <w:t>October 14, 2021</w:t>
      </w:r>
    </w:p>
    <w:p w14:paraId="7DA5960D" w14:textId="77777777" w:rsidR="002F7192" w:rsidRPr="00006BA6" w:rsidRDefault="002F7192" w:rsidP="002F7192">
      <w:r w:rsidRPr="00006BA6">
        <w:t>All Commercial Banks (including Small Finance Banks, Local Area Banks and Regional Rural Banks)</w:t>
      </w:r>
      <w:r w:rsidRPr="00006BA6">
        <w:br/>
        <w:t>All Primary (Urban) Co-operative Banks/State Co-operative Banks/ District Central Co-operative Banks</w:t>
      </w:r>
      <w:r w:rsidRPr="00006BA6">
        <w:br/>
        <w:t>All-India Financial Institutions (Exim Bank, NABARD, NHB and SIDBI)</w:t>
      </w:r>
      <w:r w:rsidRPr="00006BA6">
        <w:br/>
        <w:t>All Non-Banking Financial Companies (including Housing Finance Companies)</w:t>
      </w:r>
      <w:r w:rsidRPr="00006BA6">
        <w:br/>
        <w:t>All Credit Information Companies</w:t>
      </w:r>
    </w:p>
    <w:p w14:paraId="547A7A11" w14:textId="77777777" w:rsidR="002F7192" w:rsidRPr="00006BA6" w:rsidRDefault="002F7192" w:rsidP="002F7192">
      <w:r w:rsidRPr="00006BA6">
        <w:t>Madam/Dear Sir,</w:t>
      </w:r>
    </w:p>
    <w:p w14:paraId="79A9B610" w14:textId="77777777" w:rsidR="002F7192" w:rsidRPr="00006BA6" w:rsidRDefault="002F7192" w:rsidP="002F7192">
      <w:pPr>
        <w:rPr>
          <w:b/>
          <w:bCs/>
        </w:rPr>
      </w:pPr>
      <w:r w:rsidRPr="00006BA6">
        <w:rPr>
          <w:b/>
          <w:bCs/>
        </w:rPr>
        <w:t>Data Format for Furnishing of Credit Information to Credit Information Companies</w:t>
      </w:r>
    </w:p>
    <w:p w14:paraId="7EBA867C" w14:textId="77777777" w:rsidR="002F7192" w:rsidRPr="00006BA6" w:rsidRDefault="002F7192" w:rsidP="002F7192">
      <w:r w:rsidRPr="00006BA6">
        <w:t>Please refer to our </w:t>
      </w:r>
      <w:hyperlink r:id="rId5" w:tgtFrame="_blank" w:history="1">
        <w:r w:rsidRPr="00006BA6">
          <w:rPr>
            <w:rStyle w:val="Hyperlink"/>
          </w:rPr>
          <w:t>circular DBOD.No.CID.BC.127/20.16.056/2013-14 dated June 27, 2014</w:t>
        </w:r>
      </w:hyperlink>
      <w:r w:rsidRPr="00006BA6">
        <w:t>, inter alia setting out a Uniform Credit Reporting Format for reporting credit information to the Credit Information Companies (CICs). The Uniform Credit Reporting Format has two Annexes, Annex-I contains two formats for credit reporting, viz., Consumer Bureau and Commercial Bureau, whereas Annex-II contains credit reporting format for Micro Finance Institution (MFI) segment.</w:t>
      </w:r>
    </w:p>
    <w:p w14:paraId="54C63ADB" w14:textId="77777777" w:rsidR="002F7192" w:rsidRPr="00006BA6" w:rsidRDefault="002F7192" w:rsidP="002F7192">
      <w:r w:rsidRPr="00006BA6">
        <w:t>2. The Relationship Segment (RS) in the Commercial Bureau format inter alia captures information on relationship fields of the corporates, viz., business category and type of relationship (i.e. contains information on directors, shareholders, proprietors, partners, trustees, holding companies, subsidiary companies and associated companies related to the borrower). It is observed that there is a low level of RS details in the databases of CICs.</w:t>
      </w:r>
    </w:p>
    <w:p w14:paraId="53CCCE7B" w14:textId="77777777" w:rsidR="002F7192" w:rsidRPr="00006BA6" w:rsidRDefault="002F7192" w:rsidP="002F7192">
      <w:r w:rsidRPr="00006BA6">
        <w:t>3. The RS details are very important in establishing cross-linkages across the three modules, viz., Consumer, Commercial and MFI Bureaus, while providing comprehensive credit information of a borrower to Credit Institutions (CIs) by CICs. Accordingly, it has now been decided that the reporting of RS data by CIs to CICs would henceforth be mandatory. In order to ensure implementation in a non-disruptive manner, the reporting requirement may be staggered in the manner indicated below.</w:t>
      </w:r>
    </w:p>
    <w:p w14:paraId="731A263D" w14:textId="77777777" w:rsidR="002F7192" w:rsidRPr="00006BA6" w:rsidRDefault="002F7192" w:rsidP="002F7192">
      <w:r w:rsidRPr="00006BA6">
        <w:t>(</w:t>
      </w:r>
      <w:proofErr w:type="spellStart"/>
      <w:r w:rsidRPr="00006BA6">
        <w:t>i</w:t>
      </w:r>
      <w:proofErr w:type="spellEnd"/>
      <w:r w:rsidRPr="00006BA6">
        <w:t>) The reporting would be mandatory in respect of new loan accounts opened after July 1, 2022.</w:t>
      </w:r>
    </w:p>
    <w:p w14:paraId="4D39DF08" w14:textId="77777777" w:rsidR="002F7192" w:rsidRPr="00006BA6" w:rsidRDefault="002F7192" w:rsidP="002F7192">
      <w:r w:rsidRPr="00006BA6">
        <w:t>(ii) A phased approach shall be followed for reporting of legacy data as detailed below:</w:t>
      </w:r>
    </w:p>
    <w:p w14:paraId="402E0CE6" w14:textId="77777777" w:rsidR="002F7192" w:rsidRPr="00006BA6" w:rsidRDefault="002F7192" w:rsidP="002F7192">
      <w:pPr>
        <w:numPr>
          <w:ilvl w:val="0"/>
          <w:numId w:val="1"/>
        </w:numPr>
      </w:pPr>
      <w:r w:rsidRPr="00006BA6">
        <w:t>The accounts opened during the period (July 1, 2021 to June 30, 2022) have to be updated by January 1, 2023.</w:t>
      </w:r>
    </w:p>
    <w:p w14:paraId="41B1A8F9" w14:textId="77777777" w:rsidR="002F7192" w:rsidRPr="00006BA6" w:rsidRDefault="002F7192" w:rsidP="002F7192">
      <w:pPr>
        <w:numPr>
          <w:ilvl w:val="0"/>
          <w:numId w:val="1"/>
        </w:numPr>
      </w:pPr>
      <w:r w:rsidRPr="00006BA6">
        <w:lastRenderedPageBreak/>
        <w:t>The accounts opened in past three years (July 1, 2018 to June 30, 2021) have to be updated by July 1, 2023.</w:t>
      </w:r>
    </w:p>
    <w:p w14:paraId="57AC34FE" w14:textId="77777777" w:rsidR="002F7192" w:rsidRPr="00006BA6" w:rsidRDefault="002F7192" w:rsidP="002F7192">
      <w:pPr>
        <w:numPr>
          <w:ilvl w:val="0"/>
          <w:numId w:val="1"/>
        </w:numPr>
      </w:pPr>
      <w:r w:rsidRPr="00006BA6">
        <w:t>A timeline for reporting of the remainder legacy data would be reviewed by the Technical Working Group and the CIs would be advised in due course.</w:t>
      </w:r>
    </w:p>
    <w:p w14:paraId="0479DAA1" w14:textId="77777777" w:rsidR="002F7192" w:rsidRPr="00006BA6" w:rsidRDefault="002F7192" w:rsidP="002F7192">
      <w:r w:rsidRPr="00006BA6">
        <w:t>4. The CIs are advised to commence reporting the aforesaid information as per the prescribed timelines to CICs.</w:t>
      </w:r>
    </w:p>
    <w:p w14:paraId="51C50A9C" w14:textId="77777777" w:rsidR="002F7192" w:rsidRPr="00006BA6" w:rsidRDefault="002F7192" w:rsidP="002F7192">
      <w:r w:rsidRPr="00006BA6">
        <w:t>Yours faithfully</w:t>
      </w:r>
    </w:p>
    <w:p w14:paraId="0F34DE63" w14:textId="77777777" w:rsidR="002F7192" w:rsidRPr="00006BA6" w:rsidRDefault="002F7192" w:rsidP="002F7192">
      <w:r w:rsidRPr="00006BA6">
        <w:t>(Sunil T S Nair)</w:t>
      </w:r>
      <w:r w:rsidRPr="00006BA6">
        <w:br/>
        <w:t>Chief General Manager</w:t>
      </w:r>
    </w:p>
    <w:p w14:paraId="7A443C06" w14:textId="77777777" w:rsidR="002F7192" w:rsidRDefault="002F7192" w:rsidP="002F7192">
      <w:r>
        <w:t xml:space="preserve">Reference link: </w:t>
      </w:r>
      <w:hyperlink r:id="rId6" w:history="1">
        <w:r w:rsidRPr="00D972C1">
          <w:rPr>
            <w:rStyle w:val="Hyperlink"/>
          </w:rPr>
          <w:t>https://www.rbi.org.in/Scripts/NotificationUser.aspx?Id=12178&amp;Mode=0</w:t>
        </w:r>
      </w:hyperlink>
    </w:p>
    <w:p w14:paraId="38ABE684" w14:textId="10431DEC" w:rsidR="002F7192" w:rsidRDefault="002F7192"/>
    <w:p w14:paraId="79DF9C01" w14:textId="77777777" w:rsidR="002F7192" w:rsidRDefault="002F7192">
      <w:r>
        <w:br w:type="page"/>
      </w:r>
    </w:p>
    <w:p w14:paraId="6BC8C2E0" w14:textId="77777777" w:rsidR="002F7192" w:rsidRDefault="002F7192" w:rsidP="002F7192">
      <w:pPr>
        <w:rPr>
          <w:rFonts w:ascii="Arial" w:hAnsi="Arial" w:cs="Arial"/>
          <w:b/>
          <w:bCs/>
          <w:color w:val="000000"/>
          <w:sz w:val="20"/>
          <w:szCs w:val="20"/>
        </w:rPr>
      </w:pPr>
      <w:bookmarkStart w:id="1" w:name="_Hlk94633660"/>
      <w:r>
        <w:rPr>
          <w:rFonts w:ascii="Arial" w:hAnsi="Arial" w:cs="Arial"/>
          <w:b/>
          <w:bCs/>
          <w:color w:val="000000"/>
          <w:sz w:val="20"/>
          <w:szCs w:val="20"/>
        </w:rPr>
        <w:lastRenderedPageBreak/>
        <w:t>Master Direction – Reserve Bank of India (Transfer of Loan Exposures) Directions, 2021</w:t>
      </w:r>
    </w:p>
    <w:p w14:paraId="0FE90BA8" w14:textId="77777777" w:rsidR="002F7192" w:rsidRPr="00B542F8" w:rsidRDefault="002F7192" w:rsidP="002F7192">
      <w:r w:rsidRPr="00B542F8">
        <w:t>RBI/DOR/2021-22/86</w:t>
      </w:r>
      <w:r w:rsidRPr="00B542F8">
        <w:br/>
        <w:t>DOR.STR.REC.51/21.04.048/2021-22</w:t>
      </w:r>
    </w:p>
    <w:p w14:paraId="7A70DE4E" w14:textId="77777777" w:rsidR="002F7192" w:rsidRPr="00B542F8" w:rsidRDefault="002F7192" w:rsidP="002F7192">
      <w:r w:rsidRPr="00B542F8">
        <w:t>September 24, 2021</w:t>
      </w:r>
    </w:p>
    <w:p w14:paraId="570D51F7" w14:textId="77777777" w:rsidR="002F7192" w:rsidRPr="00B542F8" w:rsidRDefault="002F7192" w:rsidP="002F7192">
      <w:r w:rsidRPr="00B542F8">
        <w:t>All Commercial Banks (including Small Finance Banks, Local Area Banks and Regional Rural Banks)</w:t>
      </w:r>
      <w:r w:rsidRPr="00B542F8">
        <w:br/>
        <w:t>All Primary (Urban) Co-operative Banks/State Co-operative Banks/ District Central Co-operative Banks</w:t>
      </w:r>
      <w:r w:rsidRPr="00B542F8">
        <w:br/>
        <w:t>All All-India Financial Institutions</w:t>
      </w:r>
      <w:r w:rsidRPr="00B542F8">
        <w:br/>
        <w:t>All Non-Banking Financial Companies (including Housing Finance Companies)</w:t>
      </w:r>
    </w:p>
    <w:p w14:paraId="350E65D8" w14:textId="77777777" w:rsidR="002F7192" w:rsidRPr="00B542F8" w:rsidRDefault="002F7192" w:rsidP="002F7192">
      <w:pPr>
        <w:rPr>
          <w:b/>
          <w:bCs/>
        </w:rPr>
      </w:pPr>
      <w:r w:rsidRPr="00B542F8">
        <w:rPr>
          <w:b/>
          <w:bCs/>
        </w:rPr>
        <w:t>Master Direction – Reserve Bank of India (Transfer of Loan Exposures) Directions, 2021</w:t>
      </w:r>
    </w:p>
    <w:p w14:paraId="0465E5A4" w14:textId="77777777" w:rsidR="002F7192" w:rsidRPr="00B542F8" w:rsidRDefault="002F7192" w:rsidP="002F7192">
      <w:r w:rsidRPr="00B542F8">
        <w:t>Please refer to the Draft Comprehensive Framework for Sale of Loan Exposures that was released on </w:t>
      </w:r>
      <w:hyperlink r:id="rId7" w:tgtFrame="_blank" w:history="1">
        <w:r w:rsidRPr="00B542F8">
          <w:rPr>
            <w:rStyle w:val="Hyperlink"/>
          </w:rPr>
          <w:t>June 8, 2020</w:t>
        </w:r>
      </w:hyperlink>
      <w:r w:rsidRPr="00B542F8">
        <w:t> for comments from various stakeholders.</w:t>
      </w:r>
    </w:p>
    <w:p w14:paraId="542773B5" w14:textId="77777777" w:rsidR="002F7192" w:rsidRPr="00B542F8" w:rsidRDefault="002F7192" w:rsidP="002F7192">
      <w:r w:rsidRPr="00B542F8">
        <w:t>2. Based on the examination of the comments received, the Reserve Bank has issued the Master Direction – Reserve Bank of India (Transfer of Loan Exposures) Directions, 2021, which are </w:t>
      </w:r>
      <w:hyperlink r:id="rId8" w:anchor="MD" w:history="1">
        <w:r w:rsidRPr="00B542F8">
          <w:rPr>
            <w:rStyle w:val="Hyperlink"/>
          </w:rPr>
          <w:t>enclosed</w:t>
        </w:r>
      </w:hyperlink>
      <w:r w:rsidRPr="00B542F8">
        <w:t>. These directions have been issued in exercise of the powers conferred by the Sections 21 and 35A of the Banking Regulation Act, 1949 read with Section 56 of the Banking Regulation Act, 1949; Chapter IIIB of the Reserve Bank of India Act, 1934; and Sections 30A, 32 and 33 of the National Housing Bank Act, 1987.</w:t>
      </w:r>
    </w:p>
    <w:p w14:paraId="088ECA43" w14:textId="77777777" w:rsidR="002F7192" w:rsidRPr="00B542F8" w:rsidRDefault="002F7192" w:rsidP="002F7192">
      <w:r w:rsidRPr="00B542F8">
        <w:t>3. These directions come into immediate effect replacing the existing instructions on the matter of sale / transfer of loan exposures. All lending institutions are advised to take necessary steps to ensure compliance with these directions.</w:t>
      </w:r>
    </w:p>
    <w:p w14:paraId="68F22835" w14:textId="77777777" w:rsidR="002F7192" w:rsidRPr="00B542F8" w:rsidRDefault="002F7192" w:rsidP="002F7192">
      <w:r w:rsidRPr="00B542F8">
        <w:t>Yours faithfully,</w:t>
      </w:r>
    </w:p>
    <w:p w14:paraId="2CFD581D" w14:textId="77777777" w:rsidR="002F7192" w:rsidRPr="00B542F8" w:rsidRDefault="002F7192" w:rsidP="002F7192">
      <w:r w:rsidRPr="00B542F8">
        <w:t>(</w:t>
      </w:r>
      <w:proofErr w:type="spellStart"/>
      <w:r w:rsidRPr="00B542F8">
        <w:t>Manoranjan</w:t>
      </w:r>
      <w:proofErr w:type="spellEnd"/>
      <w:r w:rsidRPr="00B542F8">
        <w:t xml:space="preserve"> Mishra)</w:t>
      </w:r>
      <w:r w:rsidRPr="00B542F8">
        <w:br/>
        <w:t>Chief General Manager</w:t>
      </w:r>
    </w:p>
    <w:p w14:paraId="0E2A28BB" w14:textId="77777777" w:rsidR="002F7192" w:rsidRDefault="002F7192" w:rsidP="002F7192">
      <w:r>
        <w:t xml:space="preserve">Reference link: </w:t>
      </w:r>
      <w:hyperlink r:id="rId9" w:history="1">
        <w:r w:rsidRPr="00D972C1">
          <w:rPr>
            <w:rStyle w:val="Hyperlink"/>
          </w:rPr>
          <w:t>https://www.rbi.org.in/Scripts/NotificationUser.aspx?Id=12166&amp;Mode=0</w:t>
        </w:r>
      </w:hyperlink>
    </w:p>
    <w:bookmarkEnd w:id="1"/>
    <w:p w14:paraId="02693965" w14:textId="77777777" w:rsidR="002F7192" w:rsidRDefault="002F7192" w:rsidP="002F7192"/>
    <w:p w14:paraId="19CB98A8" w14:textId="77777777" w:rsidR="002F7192" w:rsidRDefault="002F7192" w:rsidP="002F7192"/>
    <w:p w14:paraId="32AC2B05" w14:textId="77777777" w:rsidR="002F7192" w:rsidRDefault="002F7192" w:rsidP="002F7192"/>
    <w:p w14:paraId="11FB1BF6" w14:textId="77777777" w:rsidR="002F7192" w:rsidRDefault="002F7192" w:rsidP="002F7192"/>
    <w:p w14:paraId="696C683C" w14:textId="77777777" w:rsidR="002F7192" w:rsidRDefault="002F7192" w:rsidP="002F7192"/>
    <w:p w14:paraId="7EE7A4A7" w14:textId="77777777" w:rsidR="002F7192" w:rsidRDefault="002F7192" w:rsidP="002F7192"/>
    <w:p w14:paraId="17A4993A" w14:textId="77777777" w:rsidR="002F7192" w:rsidRDefault="002F7192" w:rsidP="002F7192"/>
    <w:p w14:paraId="2096F19B" w14:textId="77777777" w:rsidR="002F7192" w:rsidRDefault="002F7192" w:rsidP="002F7192"/>
    <w:p w14:paraId="59BF8F3D" w14:textId="77777777" w:rsidR="002F7192" w:rsidRDefault="002F7192" w:rsidP="002F7192"/>
    <w:p w14:paraId="24E6FF63" w14:textId="77777777" w:rsidR="002F7192" w:rsidRDefault="002F7192" w:rsidP="002F7192"/>
    <w:p w14:paraId="4CE045D7" w14:textId="77777777" w:rsidR="002F7192" w:rsidRDefault="002F7192" w:rsidP="002F7192"/>
    <w:p w14:paraId="52E430E1" w14:textId="77777777" w:rsidR="002F7192" w:rsidRDefault="002F7192" w:rsidP="002F7192">
      <w:pPr>
        <w:rPr>
          <w:rFonts w:ascii="Arial" w:hAnsi="Arial" w:cs="Arial"/>
          <w:b/>
          <w:bCs/>
          <w:color w:val="000000"/>
          <w:sz w:val="20"/>
          <w:szCs w:val="20"/>
        </w:rPr>
      </w:pPr>
    </w:p>
    <w:p w14:paraId="17341789" w14:textId="77777777" w:rsidR="002F7192" w:rsidRDefault="002F7192" w:rsidP="002F7192">
      <w:pPr>
        <w:rPr>
          <w:rFonts w:ascii="Arial" w:hAnsi="Arial" w:cs="Arial"/>
          <w:b/>
          <w:bCs/>
          <w:color w:val="000000"/>
          <w:sz w:val="20"/>
          <w:szCs w:val="20"/>
        </w:rPr>
      </w:pPr>
      <w:r>
        <w:rPr>
          <w:rFonts w:ascii="Arial" w:hAnsi="Arial" w:cs="Arial"/>
          <w:b/>
          <w:bCs/>
          <w:color w:val="000000"/>
          <w:sz w:val="20"/>
          <w:szCs w:val="20"/>
        </w:rPr>
        <w:t>Master Direction – Reserve Bank of India (Securitisation of Standard Assets) Directions, 2021</w:t>
      </w:r>
    </w:p>
    <w:p w14:paraId="4477968C" w14:textId="77777777" w:rsidR="002F7192" w:rsidRPr="00B542F8" w:rsidRDefault="002F7192" w:rsidP="002F7192">
      <w:r w:rsidRPr="00B542F8">
        <w:t>RBI/DOR/2021-22/85</w:t>
      </w:r>
      <w:r w:rsidRPr="00B542F8">
        <w:br/>
        <w:t>DOR.STR.REC.53/21.04.177/2021-22</w:t>
      </w:r>
    </w:p>
    <w:p w14:paraId="3AD7400B" w14:textId="77777777" w:rsidR="002F7192" w:rsidRPr="00B542F8" w:rsidRDefault="002F7192" w:rsidP="002F7192">
      <w:r w:rsidRPr="00B542F8">
        <w:t>September 24, 2021</w:t>
      </w:r>
    </w:p>
    <w:p w14:paraId="6EC0AEE6" w14:textId="77777777" w:rsidR="002F7192" w:rsidRPr="00B542F8" w:rsidRDefault="002F7192" w:rsidP="002F7192">
      <w:r w:rsidRPr="00B542F8">
        <w:t>All Scheduled Commercial Banks (including Small Finance Banks but excluding Regional Rural Banks);</w:t>
      </w:r>
      <w:r w:rsidRPr="00B542F8">
        <w:br/>
        <w:t>All All-India Term Financial Institutions (NABARD, NHB, EXIM Bank, and SIDBI);</w:t>
      </w:r>
      <w:r w:rsidRPr="00B542F8">
        <w:br/>
        <w:t>All Non-Banking Financial Companies (NBFCs) including Housing Finance Companies (HFCs)</w:t>
      </w:r>
    </w:p>
    <w:p w14:paraId="7102A3A4" w14:textId="77777777" w:rsidR="002F7192" w:rsidRPr="00B542F8" w:rsidRDefault="002F7192" w:rsidP="002F7192">
      <w:pPr>
        <w:rPr>
          <w:b/>
          <w:bCs/>
        </w:rPr>
      </w:pPr>
      <w:r w:rsidRPr="00B542F8">
        <w:rPr>
          <w:b/>
          <w:bCs/>
        </w:rPr>
        <w:t>Master Direction – Reserve Bank of India (Securitisation of Standard Assets) Directions, 2021</w:t>
      </w:r>
    </w:p>
    <w:p w14:paraId="0D4CAE9C" w14:textId="77777777" w:rsidR="002F7192" w:rsidRPr="00B542F8" w:rsidRDefault="002F7192" w:rsidP="002F7192">
      <w:r w:rsidRPr="00B542F8">
        <w:t>Please refer to the Draft Framework for Securitisation of Standard Assets that was released on </w:t>
      </w:r>
      <w:hyperlink r:id="rId10" w:tgtFrame="_blank" w:history="1">
        <w:r w:rsidRPr="00B542F8">
          <w:rPr>
            <w:rStyle w:val="Hyperlink"/>
          </w:rPr>
          <w:t>June 8, 2020</w:t>
        </w:r>
      </w:hyperlink>
      <w:r w:rsidRPr="00B542F8">
        <w:t> for comments from various stakeholders.</w:t>
      </w:r>
    </w:p>
    <w:p w14:paraId="51D35D07" w14:textId="77777777" w:rsidR="002F7192" w:rsidRPr="00B542F8" w:rsidRDefault="002F7192" w:rsidP="002F7192">
      <w:r w:rsidRPr="00B542F8">
        <w:t>2. Based on the examination of the comments received, the Reserve Bank has issued the Master Direction – Reserve Bank of India (Securitisation of Standard Assets) Directions, 2021, which are </w:t>
      </w:r>
      <w:hyperlink r:id="rId11" w:anchor="ANC1" w:history="1">
        <w:r w:rsidRPr="00B542F8">
          <w:rPr>
            <w:rStyle w:val="Hyperlink"/>
          </w:rPr>
          <w:t>enclosed</w:t>
        </w:r>
      </w:hyperlink>
      <w:r w:rsidRPr="00B542F8">
        <w:t>. These directions have been issued in exercise of the powers conferred by the Sections 21 and 35A of the Banking Regulation Act, 1949; Chapter IIIB of the Reserve Bank of India Act, 1934; and Sections 30A, 32 and 33 of the National Housing Bank Act, 1987.</w:t>
      </w:r>
    </w:p>
    <w:p w14:paraId="34A4C4E3" w14:textId="77777777" w:rsidR="002F7192" w:rsidRPr="00B542F8" w:rsidRDefault="002F7192" w:rsidP="002F7192">
      <w:r w:rsidRPr="00B542F8">
        <w:t>3. These directions come into immediate effect replacing the existing instructions on the matter of securitisation of standard assets. All lending institutions are advised to take necessary steps to ensure compliance with these directions.</w:t>
      </w:r>
    </w:p>
    <w:p w14:paraId="30220F28" w14:textId="77777777" w:rsidR="002F7192" w:rsidRPr="00B542F8" w:rsidRDefault="002F7192" w:rsidP="002F7192">
      <w:r w:rsidRPr="00B542F8">
        <w:t>Yours faithfully,</w:t>
      </w:r>
    </w:p>
    <w:p w14:paraId="25AC5171" w14:textId="77777777" w:rsidR="002F7192" w:rsidRPr="00B542F8" w:rsidRDefault="002F7192" w:rsidP="002F7192">
      <w:r w:rsidRPr="00B542F8">
        <w:t>(</w:t>
      </w:r>
      <w:proofErr w:type="spellStart"/>
      <w:r w:rsidRPr="00B542F8">
        <w:t>Manoranjan</w:t>
      </w:r>
      <w:proofErr w:type="spellEnd"/>
      <w:r w:rsidRPr="00B542F8">
        <w:t xml:space="preserve"> Mishra)</w:t>
      </w:r>
      <w:r w:rsidRPr="00B542F8">
        <w:br/>
        <w:t>Chief General Manager</w:t>
      </w:r>
    </w:p>
    <w:p w14:paraId="5EBD22B5" w14:textId="77777777" w:rsidR="002F7192" w:rsidRDefault="002F7192" w:rsidP="002F7192">
      <w:r>
        <w:t xml:space="preserve">Reference link: </w:t>
      </w:r>
      <w:hyperlink r:id="rId12" w:history="1">
        <w:r w:rsidRPr="00D972C1">
          <w:rPr>
            <w:rStyle w:val="Hyperlink"/>
          </w:rPr>
          <w:t>https://www.rbi.org.in/Scripts/NotificationUser.aspx?Id=12165&amp;Mode=0</w:t>
        </w:r>
      </w:hyperlink>
    </w:p>
    <w:p w14:paraId="18E95E9C" w14:textId="77777777" w:rsidR="002F7192" w:rsidRDefault="002F7192" w:rsidP="002F7192"/>
    <w:p w14:paraId="1C12974D" w14:textId="754524B2" w:rsidR="009975ED" w:rsidRDefault="009975ED"/>
    <w:p w14:paraId="789DCA3B" w14:textId="58642627" w:rsidR="002F7192" w:rsidRDefault="002F7192"/>
    <w:p w14:paraId="15189597" w14:textId="6B2F7926" w:rsidR="002F7192" w:rsidRDefault="002F7192"/>
    <w:p w14:paraId="1747A8F5" w14:textId="3329861D" w:rsidR="002F7192" w:rsidRDefault="002F7192"/>
    <w:p w14:paraId="5B0AC879" w14:textId="47B99DCD" w:rsidR="002F7192" w:rsidRDefault="002F7192"/>
    <w:p w14:paraId="36E7A521" w14:textId="6FB6ACCA" w:rsidR="002F7192" w:rsidRDefault="002F7192"/>
    <w:p w14:paraId="4E0FBE5D" w14:textId="4D06CEB9" w:rsidR="002F7192" w:rsidRDefault="002F7192"/>
    <w:p w14:paraId="1935805A" w14:textId="3489BAD0" w:rsidR="002F7192" w:rsidRDefault="002F7192"/>
    <w:p w14:paraId="22D0874B" w14:textId="34E317E5" w:rsidR="002F7192" w:rsidRDefault="002F7192"/>
    <w:p w14:paraId="07188942" w14:textId="53564D04" w:rsidR="002F7192" w:rsidRDefault="002F7192"/>
    <w:p w14:paraId="30D57A74" w14:textId="08C7927B" w:rsidR="002F7192" w:rsidRDefault="002F7192"/>
    <w:p w14:paraId="3C1B2763" w14:textId="77777777" w:rsidR="002F7192" w:rsidRDefault="002F7192" w:rsidP="002F7192">
      <w:pPr>
        <w:rPr>
          <w:rFonts w:ascii="Arial" w:hAnsi="Arial" w:cs="Arial"/>
          <w:b/>
          <w:bCs/>
          <w:color w:val="000000"/>
          <w:sz w:val="20"/>
          <w:szCs w:val="20"/>
        </w:rPr>
      </w:pPr>
      <w:bookmarkStart w:id="2" w:name="_Hlk94635322"/>
      <w:r>
        <w:rPr>
          <w:rFonts w:ascii="Arial" w:hAnsi="Arial" w:cs="Arial"/>
          <w:b/>
          <w:bCs/>
          <w:color w:val="000000"/>
          <w:sz w:val="20"/>
          <w:szCs w:val="20"/>
        </w:rPr>
        <w:lastRenderedPageBreak/>
        <w:t>Notification as ‘Financial Institution’ under Section 2(1)(m)(iv) of Securitisation and Reconstruction of Financial Assets and Enforcement of Security Interest Act, 2002 (SARFAESI Act)</w:t>
      </w:r>
    </w:p>
    <w:p w14:paraId="78C2E5BE" w14:textId="77777777" w:rsidR="002F7192" w:rsidRPr="002917C6" w:rsidRDefault="002F7192" w:rsidP="002F7192">
      <w:r w:rsidRPr="002917C6">
        <w:t>RBI/2021-22/91</w:t>
      </w:r>
      <w:r w:rsidRPr="002917C6">
        <w:br/>
        <w:t>DOR.FIN.REC.No.41/03.10.136/2021-22</w:t>
      </w:r>
    </w:p>
    <w:p w14:paraId="67F48FA0" w14:textId="77777777" w:rsidR="002F7192" w:rsidRPr="002917C6" w:rsidRDefault="002F7192" w:rsidP="002F7192">
      <w:r w:rsidRPr="002917C6">
        <w:t>August 25, 2021</w:t>
      </w:r>
    </w:p>
    <w:p w14:paraId="2C36D2A8" w14:textId="77777777" w:rsidR="002F7192" w:rsidRPr="002917C6" w:rsidRDefault="002F7192" w:rsidP="002F7192">
      <w:r w:rsidRPr="002917C6">
        <w:t>All Housing Finance Companies (HFCs)</w:t>
      </w:r>
    </w:p>
    <w:p w14:paraId="4E3C2F3A" w14:textId="77777777" w:rsidR="002F7192" w:rsidRPr="002917C6" w:rsidRDefault="002F7192" w:rsidP="002F7192">
      <w:r w:rsidRPr="002917C6">
        <w:t>Dear Sir/ Madam,</w:t>
      </w:r>
    </w:p>
    <w:p w14:paraId="75ECA6BF" w14:textId="77777777" w:rsidR="002F7192" w:rsidRPr="002917C6" w:rsidRDefault="002F7192" w:rsidP="002F7192">
      <w:pPr>
        <w:rPr>
          <w:b/>
          <w:bCs/>
        </w:rPr>
      </w:pPr>
      <w:r w:rsidRPr="002917C6">
        <w:rPr>
          <w:b/>
          <w:bCs/>
        </w:rPr>
        <w:t>Notification as ‘Financial Institution’ under Section 2(1)(m)(iv) of Securitisation and Reconstruction of Financial Assets and Enforcement of Security Interest Act, 2002 (SARFAESI Act)</w:t>
      </w:r>
    </w:p>
    <w:p w14:paraId="12C5F60F" w14:textId="77777777" w:rsidR="002F7192" w:rsidRPr="002917C6" w:rsidRDefault="002F7192" w:rsidP="002F7192">
      <w:r w:rsidRPr="002917C6">
        <w:t>Please refer to Para 105 of </w:t>
      </w:r>
      <w:hyperlink r:id="rId13" w:tgtFrame="_blank" w:history="1">
        <w:r w:rsidRPr="002917C6">
          <w:rPr>
            <w:rStyle w:val="Hyperlink"/>
          </w:rPr>
          <w:t>Master Direction – Non-Banking Financial Company – Housing Finance Company (Reserve Bank) Directions, 2021</w:t>
        </w:r>
      </w:hyperlink>
      <w:r w:rsidRPr="002917C6">
        <w:t> wherein certain criteria have been prescribed for notification of HFCs as ‘Financial Institution’ under Section 2(1)(m)(iv) of the SARFAESI Act.</w:t>
      </w:r>
    </w:p>
    <w:p w14:paraId="4F7D5CEA" w14:textId="77777777" w:rsidR="002F7192" w:rsidRPr="002917C6" w:rsidRDefault="002F7192" w:rsidP="002F7192">
      <w:r w:rsidRPr="002917C6">
        <w:t>2. In this connection, Government of India (</w:t>
      </w:r>
      <w:proofErr w:type="spellStart"/>
      <w:r w:rsidRPr="002917C6">
        <w:t>GoI</w:t>
      </w:r>
      <w:proofErr w:type="spellEnd"/>
      <w:r w:rsidRPr="002917C6">
        <w:t>) has, vide its Gazette Notification No. S.O. 2405(E) dated June 17, 2021 notified the HFCs registered under Section 29</w:t>
      </w:r>
      <w:proofErr w:type="gramStart"/>
      <w:r w:rsidRPr="002917C6">
        <w:t>A(</w:t>
      </w:r>
      <w:proofErr w:type="gramEnd"/>
      <w:r w:rsidRPr="002917C6">
        <w:t xml:space="preserve">5) of National Housing Bank Act, 1987 and having assets worth ₹100 crore &amp; above, as ‘Financial Institution’ under Section 2(1)(m)(iv) of SARFAESI Act, 2002. In view of revision of the criteria for notification as ‘Financial Institution’ as per the abovementioned Gazette notification of </w:t>
      </w:r>
      <w:proofErr w:type="spellStart"/>
      <w:r w:rsidRPr="002917C6">
        <w:t>GoI</w:t>
      </w:r>
      <w:proofErr w:type="spellEnd"/>
      <w:r w:rsidRPr="002917C6">
        <w:t>, the criteria prescribed under Para 105 of the aforesaid Master Direction are withdrawn with immediate effect.</w:t>
      </w:r>
    </w:p>
    <w:p w14:paraId="17625115" w14:textId="77777777" w:rsidR="002F7192" w:rsidRPr="002917C6" w:rsidRDefault="002F7192" w:rsidP="002F7192">
      <w:r w:rsidRPr="002917C6">
        <w:t>3. The </w:t>
      </w:r>
      <w:hyperlink r:id="rId14" w:tgtFrame="_blank" w:history="1">
        <w:r w:rsidRPr="002917C6">
          <w:rPr>
            <w:rStyle w:val="Hyperlink"/>
          </w:rPr>
          <w:t>Master Direction – Non-Banking Financial Company – Housing Finance Company (Reserve Bank) Directions, 2021</w:t>
        </w:r>
      </w:hyperlink>
      <w:r w:rsidRPr="002917C6">
        <w:t> is being modified accordingly.</w:t>
      </w:r>
    </w:p>
    <w:p w14:paraId="31CD3E77" w14:textId="77777777" w:rsidR="002F7192" w:rsidRPr="002917C6" w:rsidRDefault="002F7192" w:rsidP="002F7192">
      <w:r w:rsidRPr="002917C6">
        <w:t>Yours faithfully,</w:t>
      </w:r>
    </w:p>
    <w:p w14:paraId="29E218AC" w14:textId="77777777" w:rsidR="002F7192" w:rsidRPr="002917C6" w:rsidRDefault="002F7192" w:rsidP="002F7192">
      <w:r w:rsidRPr="002917C6">
        <w:t>(J.P. Sharma)</w:t>
      </w:r>
      <w:r w:rsidRPr="002917C6">
        <w:br/>
        <w:t>Chief General Manager</w:t>
      </w:r>
    </w:p>
    <w:p w14:paraId="61D95639" w14:textId="77777777" w:rsidR="002F7192" w:rsidRDefault="002F7192" w:rsidP="002F7192">
      <w:r>
        <w:t xml:space="preserve">Reference link: </w:t>
      </w:r>
      <w:hyperlink r:id="rId15" w:history="1">
        <w:r w:rsidRPr="00D972C1">
          <w:rPr>
            <w:rStyle w:val="Hyperlink"/>
          </w:rPr>
          <w:t>https://www.rbi.org.in/Scripts/NotificationUser.aspx?Id=12151&amp;Mode=0</w:t>
        </w:r>
      </w:hyperlink>
    </w:p>
    <w:bookmarkEnd w:id="2"/>
    <w:p w14:paraId="69CDBD71" w14:textId="77777777" w:rsidR="002F7192" w:rsidRDefault="002F7192" w:rsidP="002F7192"/>
    <w:p w14:paraId="6B4B2018" w14:textId="77777777" w:rsidR="002F7192" w:rsidRDefault="002F7192"/>
    <w:sectPr w:rsidR="002F71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DE1EEE"/>
    <w:multiLevelType w:val="multilevel"/>
    <w:tmpl w:val="735C1B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7192"/>
    <w:rsid w:val="002F7192"/>
    <w:rsid w:val="009975ED"/>
    <w:rsid w:val="00F4134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B90AD"/>
  <w15:chartTrackingRefBased/>
  <w15:docId w15:val="{0116A51A-DC4F-476F-ADC0-B9A1A19E3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19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7192"/>
    <w:rPr>
      <w:color w:val="0563C1" w:themeColor="hyperlink"/>
      <w:u w:val="single"/>
    </w:rPr>
  </w:style>
  <w:style w:type="table" w:styleId="TableGrid">
    <w:name w:val="Table Grid"/>
    <w:basedOn w:val="TableNormal"/>
    <w:uiPriority w:val="39"/>
    <w:rsid w:val="00F413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bi.org.in/Scripts/NotificationUser.aspx?Id=12166&amp;Mode=0" TargetMode="External"/><Relationship Id="rId13" Type="http://schemas.openxmlformats.org/officeDocument/2006/relationships/hyperlink" Target="https://rbi.org.in/Scripts/BS_ViewMasDirections.aspx?id=12030" TargetMode="External"/><Relationship Id="rId3" Type="http://schemas.openxmlformats.org/officeDocument/2006/relationships/settings" Target="settings.xml"/><Relationship Id="rId7" Type="http://schemas.openxmlformats.org/officeDocument/2006/relationships/hyperlink" Target="https://www.rbi.org.in/Scripts/BS_PressReleaseDisplay.aspx?prid=49920" TargetMode="External"/><Relationship Id="rId12" Type="http://schemas.openxmlformats.org/officeDocument/2006/relationships/hyperlink" Target="https://www.rbi.org.in/Scripts/NotificationUser.aspx?Id=12165&amp;Mode=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rbi.org.in/Scripts/NotificationUser.aspx?Id=12178&amp;Mode=0" TargetMode="External"/><Relationship Id="rId11" Type="http://schemas.openxmlformats.org/officeDocument/2006/relationships/hyperlink" Target="https://www.rbi.org.in/Scripts/NotificationUser.aspx?Id=12165&amp;Mode=0" TargetMode="External"/><Relationship Id="rId5" Type="http://schemas.openxmlformats.org/officeDocument/2006/relationships/hyperlink" Target="https://www.rbi.org.in/Scripts/NotificationUser.aspx?Id=8968&amp;Mode=0" TargetMode="External"/><Relationship Id="rId15" Type="http://schemas.openxmlformats.org/officeDocument/2006/relationships/hyperlink" Target="https://www.rbi.org.in/Scripts/NotificationUser.aspx?Id=12151&amp;Mode=0" TargetMode="External"/><Relationship Id="rId10" Type="http://schemas.openxmlformats.org/officeDocument/2006/relationships/hyperlink" Target="https://www.rbi.org.in/Scripts/BS_PressReleaseDisplay.aspx?prid=49920" TargetMode="External"/><Relationship Id="rId4" Type="http://schemas.openxmlformats.org/officeDocument/2006/relationships/webSettings" Target="webSettings.xml"/><Relationship Id="rId9" Type="http://schemas.openxmlformats.org/officeDocument/2006/relationships/hyperlink" Target="https://www.rbi.org.in/Scripts/NotificationUser.aspx?Id=12166&amp;Mode=0" TargetMode="External"/><Relationship Id="rId14" Type="http://schemas.openxmlformats.org/officeDocument/2006/relationships/hyperlink" Target="https://rbi.org.in/Scripts/BS_ViewMasDirections.aspx?id=120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1371</Words>
  <Characters>7821</Characters>
  <Application>Microsoft Office Word</Application>
  <DocSecurity>0</DocSecurity>
  <Lines>65</Lines>
  <Paragraphs>18</Paragraphs>
  <ScaleCrop>false</ScaleCrop>
  <Company/>
  <LinksUpToDate>false</LinksUpToDate>
  <CharactersWithSpaces>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Shubhrika Srivastava</dc:creator>
  <cp:keywords/>
  <dc:description/>
  <cp:lastModifiedBy>Shubhrika Srivastava</cp:lastModifiedBy>
  <cp:revision>2</cp:revision>
  <dcterms:created xsi:type="dcterms:W3CDTF">2022-02-01T14:51:00Z</dcterms:created>
  <dcterms:modified xsi:type="dcterms:W3CDTF">2022-02-08T10:33:00Z</dcterms:modified>
</cp:coreProperties>
</file>