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Default="00211CBB" w:rsidP="00211CBB">
      <w:pPr>
        <w:pStyle w:val="Default"/>
        <w:spacing w:line="276" w:lineRule="auto"/>
        <w:jc w:val="center"/>
        <w:rPr>
          <w:rFonts w:ascii="Times New Roman" w:hAnsi="Times New Roman" w:cs="Times New Roman"/>
          <w:b/>
          <w:u w:val="single"/>
        </w:rPr>
      </w:pPr>
      <w:r>
        <w:rPr>
          <w:rFonts w:ascii="Times New Roman" w:hAnsi="Times New Roman" w:cs="Times New Roman"/>
          <w:b/>
          <w:u w:val="single"/>
        </w:rPr>
        <w:t>RBI NOTIFICATIONS FOR THE PERIOD JULY 2019 TO DECEMBER 2019</w:t>
      </w:r>
    </w:p>
    <w:p w:rsidR="00DD4733" w:rsidRPr="00DD4733" w:rsidRDefault="00DD4733" w:rsidP="00211CBB">
      <w:pPr>
        <w:pStyle w:val="Default"/>
        <w:spacing w:line="276" w:lineRule="auto"/>
        <w:jc w:val="center"/>
        <w:rPr>
          <w:rFonts w:ascii="Times New Roman" w:hAnsi="Times New Roman" w:cs="Times New Roman"/>
          <w:b/>
          <w:i/>
          <w:u w:val="single"/>
        </w:rPr>
      </w:pPr>
      <w:r w:rsidRPr="00DD4733">
        <w:rPr>
          <w:rFonts w:ascii="Times New Roman" w:hAnsi="Times New Roman" w:cs="Times New Roman"/>
          <w:b/>
          <w:i/>
          <w:u w:val="single"/>
        </w:rPr>
        <w:t>RISK IN FINANCIAL SERVICES</w:t>
      </w:r>
    </w:p>
    <w:p w:rsidR="00211CBB" w:rsidRPr="006C748F" w:rsidRDefault="00211CBB" w:rsidP="006C748F">
      <w:pPr>
        <w:pStyle w:val="Default"/>
        <w:spacing w:line="276" w:lineRule="auto"/>
        <w:jc w:val="both"/>
        <w:rPr>
          <w:rFonts w:ascii="Times New Roman" w:hAnsi="Times New Roman" w:cs="Times New Roman"/>
          <w:b/>
          <w:u w:val="single"/>
        </w:rPr>
      </w:pP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color w:val="FF0000"/>
        </w:rPr>
        <w:t xml:space="preserve">Notification Dated July 5th, 2019 </w:t>
      </w:r>
    </w:p>
    <w:p w:rsidR="008341A3" w:rsidRPr="006C748F" w:rsidRDefault="008341A3" w:rsidP="006C748F">
      <w:pPr>
        <w:pStyle w:val="Default"/>
        <w:spacing w:line="276" w:lineRule="auto"/>
        <w:jc w:val="both"/>
        <w:rPr>
          <w:rFonts w:ascii="Times New Roman" w:hAnsi="Times New Roman" w:cs="Times New Roman"/>
          <w:color w:val="FF0000"/>
        </w:rPr>
      </w:pPr>
      <w:r w:rsidRPr="006C748F">
        <w:rPr>
          <w:rFonts w:ascii="Times New Roman" w:hAnsi="Times New Roman" w:cs="Times New Roman"/>
          <w:b/>
          <w:bCs/>
          <w:color w:val="FF0000"/>
        </w:rPr>
        <w:t xml:space="preserve">Basel III Framework on Liquidity Standards - Liquidity Coverage Ratio (LCR), FALLCR against credit disbursed to NBFCs and HFCs </w:t>
      </w:r>
    </w:p>
    <w:p w:rsidR="008341A3" w:rsidRPr="006C748F" w:rsidRDefault="008341A3" w:rsidP="006C748F">
      <w:pPr>
        <w:pStyle w:val="Default"/>
        <w:spacing w:line="276" w:lineRule="auto"/>
        <w:jc w:val="both"/>
        <w:rPr>
          <w:rFonts w:ascii="Times New Roman" w:hAnsi="Times New Roman" w:cs="Times New Roman"/>
          <w:b/>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our DBR.BP.BC.No.34/21.04.098/2018-19 dated April 4, 2019 wherein banks have been permitted to reckon, in a phased manner, an additional 2 per cent of government securities held by them under Facility to Avail Liquidity for Liquidity Coverage Ratio (FALLCR) within the mandatory SLR requirement, as Level 1 HQLA for the purpose of computing Liquidity Coverage Ratio (LCR).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per the roadmap, FALLCR is scheduled to increase by 0.50 per cent of NDTL on August 1 and December 1, 2019, respectively. It has been decided that, with immediate effect, banks will be permitted to reckon this increase in FALLCR of 1.0 per cent of the bank’s NDTL as Level 1 HQLA for computing LCR, to the extent of incremental outstanding credit to NBFCs and Housing Finance Companies (HFCs) over and above the amount of credit to NBFCs/HFCs outstanding on their books as on date. The frontloading of FALLCR of one per cent, exclusively meant for incremental exposure to NBFCs/HFCs, will form part of general FALLCR as and when the increase in FALLCR takes place as per original schedule on August 1 and December 1, 2019. </w:t>
      </w:r>
    </w:p>
    <w:p w:rsidR="008341A3" w:rsidRPr="006C748F" w:rsidRDefault="008341A3" w:rsidP="006C748F">
      <w:pPr>
        <w:pStyle w:val="Default"/>
        <w:spacing w:line="276" w:lineRule="auto"/>
        <w:jc w:val="both"/>
        <w:rPr>
          <w:rFonts w:ascii="Times New Roman" w:hAnsi="Times New Roman" w:cs="Times New Roman"/>
          <w:color w:val="auto"/>
        </w:rPr>
      </w:pPr>
    </w:p>
    <w:p w:rsidR="008341A3" w:rsidRPr="006C748F" w:rsidRDefault="008341A3" w:rsidP="006C748F">
      <w:pPr>
        <w:pStyle w:val="Default"/>
        <w:spacing w:line="276" w:lineRule="auto"/>
        <w:jc w:val="both"/>
        <w:rPr>
          <w:rFonts w:ascii="Times New Roman" w:hAnsi="Times New Roman" w:cs="Times New Roman"/>
          <w:b/>
          <w:color w:val="auto"/>
        </w:rPr>
      </w:pPr>
      <w:r w:rsidRPr="006C748F">
        <w:rPr>
          <w:rFonts w:ascii="Times New Roman" w:hAnsi="Times New Roman" w:cs="Times New Roman"/>
          <w:color w:val="auto"/>
        </w:rPr>
        <w:t>3. All other instructions as per our circular ibid remain unchanged.</w:t>
      </w:r>
    </w:p>
    <w:p w:rsidR="008341A3" w:rsidRPr="006C748F" w:rsidRDefault="008341A3" w:rsidP="006C748F">
      <w:pPr>
        <w:spacing w:line="276" w:lineRule="auto"/>
        <w:jc w:val="both"/>
        <w:rPr>
          <w:rFonts w:ascii="Times New Roman" w:hAnsi="Times New Roman" w:cs="Times New Roman"/>
          <w:sz w:val="24"/>
          <w:szCs w:val="24"/>
        </w:rPr>
      </w:pP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r w:rsidR="0054452D" w:rsidRPr="004958B1">
        <w:rPr>
          <w:rFonts w:ascii="Times New Roman" w:hAnsi="Times New Roman" w:cs="Times New Roman"/>
          <w:b/>
          <w:color w:val="FF0000"/>
          <w:u w:val="single"/>
        </w:rPr>
        <w:t>Dated September</w:t>
      </w:r>
      <w:r w:rsidRPr="004958B1">
        <w:rPr>
          <w:rFonts w:ascii="Times New Roman" w:hAnsi="Times New Roman" w:cs="Times New Roman"/>
          <w:b/>
          <w:color w:val="FF0000"/>
          <w:u w:val="single"/>
        </w:rPr>
        <w:t xml:space="preserve"> 4th, 2019 </w:t>
      </w:r>
    </w:p>
    <w:p w:rsidR="00301975" w:rsidRPr="004958B1" w:rsidRDefault="00301975"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External Benchmark Based Lending</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As you are aware, Reserve Bank had constituted an Internal Study Group (ISG) to examine various aspects of the marginal cost of funds-based lending rate (MCLR) system. The final report of the ISG was published in October 2017 for public feedback. The ISG observed that internal benchmarks such as the Base rate/MCLR have not delivered effective transmission of monetary policy. The Study Group had, therefore, recommended a switchover to an external benchmark in a time-bound manner.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As a step in that direction, it was announced in the fifth bi-monthly Monetary Policy Statement for 2018-19 under ‘Statement on Developmental and Regulatory Policies’ dated December 05, 2018, that all new floating rate personal or retail loans and floating rate loans to Micro and Small Enterprises extended by banks from April 1, 2019 shall be linked to external benchmarks. Subsequently, it was announced in the first bi-monthly Monetary Policy Statement for 2019-20 under ‘Statement on Developmental and Regulatory Policies’ dated April 04, 2019 to hold further consultations with stakeholders and work out an effective mechanism for transmission of rates. Based on the consultations with stakeholders, it has now </w:t>
      </w:r>
      <w:r w:rsidRPr="006C748F">
        <w:rPr>
          <w:rFonts w:ascii="Times New Roman" w:hAnsi="Times New Roman" w:cs="Times New Roman"/>
          <w:color w:val="auto"/>
        </w:rPr>
        <w:lastRenderedPageBreak/>
        <w:t xml:space="preserve">been decided to link all new floating rate personal or retail loans (housing, auto, etc.) and floating rate loans to Micro and Small Enterprises extended by banks with effect from October 01, 2019 to external benchmarks.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Accordingly, RBI instructions contained in Master Direction on Interest Rate on Advances issued vide DBR.Dir.No.85/13.03.00/2015-16 dated March 03, 2016 are amended as 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3.1 The existing paragraph No. 7 of the aforesaid Master Direction stands replaced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 All new floating rate personal or retail loans (housing, auto, etc.) and floating rate loans to Micro and Small Enterprises extended by banks from October 01, 2019 shall be benchmarked to one of the following: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3-Months Treasury Bill yield published by the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Government of India 6-Months Treasury Bill yield published by the FBIL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 Any other benchmark market interest rate published by the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Banks are free to offer such external benchmark linked loans to other types of borrowers as well.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3.2 A new paragraph No.8(e)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Spread under External Benchmark </w:t>
      </w:r>
    </w:p>
    <w:p w:rsidR="00527838" w:rsidRPr="006C748F" w:rsidRDefault="00527838"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3.3 A new paragraph No. 9(ii)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Reset of Interest Rates under External Benchmark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interest rate under external benchmark shall be reset at least once in three months.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3.4 A new paragraph No. 11(ii) is added to the aforesaid Master Direction as given below: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Transition to External Benchmark from MCLR/Base Rate/BPLR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Existing loans and credit limits linked to the MCLR/Base Rate/BPLR shall continue till repayment or renewal, as the case may be. </w:t>
      </w:r>
    </w:p>
    <w:p w:rsidR="00301975" w:rsidRPr="006C748F" w:rsidRDefault="00301975" w:rsidP="006C748F">
      <w:pPr>
        <w:pStyle w:val="NoSpacing"/>
        <w:spacing w:line="276" w:lineRule="auto"/>
        <w:jc w:val="both"/>
        <w:rPr>
          <w:rFonts w:ascii="Times New Roman" w:hAnsi="Times New Roman" w:cs="Times New Roman"/>
          <w:b/>
          <w:bCs/>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b/>
          <w:bCs/>
          <w:sz w:val="24"/>
          <w:szCs w:val="24"/>
        </w:rPr>
        <w:t xml:space="preserve">Provided </w:t>
      </w:r>
      <w:r w:rsidRPr="006C748F">
        <w:rPr>
          <w:rFonts w:ascii="Times New Roman" w:hAnsi="Times New Roman" w:cs="Times New Roman"/>
          <w:sz w:val="24"/>
          <w:szCs w:val="24"/>
        </w:rPr>
        <w:t xml:space="preserve">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 </w:t>
      </w:r>
    </w:p>
    <w:p w:rsidR="00301975" w:rsidRPr="006C748F" w:rsidRDefault="00301975" w:rsidP="006C748F">
      <w:pPr>
        <w:pStyle w:val="Default"/>
        <w:spacing w:line="276" w:lineRule="auto"/>
        <w:jc w:val="both"/>
        <w:rPr>
          <w:rFonts w:ascii="Times New Roman" w:hAnsi="Times New Roman" w:cs="Times New Roman"/>
          <w:b/>
          <w:bCs/>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other existing borrowers shall have the option to move to External Benchmark at mutually acceptable terms.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b/>
          <w:bCs/>
          <w:color w:val="auto"/>
        </w:rPr>
        <w:t xml:space="preserve">Provided </w:t>
      </w:r>
      <w:r w:rsidRPr="006C748F">
        <w:rPr>
          <w:rFonts w:ascii="Times New Roman" w:hAnsi="Times New Roman" w:cs="Times New Roman"/>
          <w:color w:val="auto"/>
        </w:rPr>
        <w:t xml:space="preserve">that the switch-over shall not be treated as a foreclosure of existing facility.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4. The existing paragraph No. 2 of the aforesaid Master Direction is applicable for Small Finance Banks and Local Area Banks and the para is amended accordingly.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5. The existing paragraph No. 3(a)(iv)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External benchmark rate means the reference rate which includes: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 Reserve Bank of India policy Repo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(b) Government of India 3-Months and 6-Months Treasury Bill yields published by Financial Benchmarks India Private Ltd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(c) Any other benchmark market interest rate published by FBIL.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6. Some of the sub-paragraphs of para 4(a) of the aforesaid Master Direction stands amended as given hereunder: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(ii) All floating rate loans, except those mentioned in Section 13, shall be priced with reference to the benchmark indicated in chapter III.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(iv) When the floating rate advances are linked to an internal benchmark rate, banks shall determine their actual lending rates by adding the components of spread to the internal benchmark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(vi) Interest rates on fixed rate loans of tenor below 3 years shall not be less than the benchmark rate for similar tenor and shall be as per directions contained in Section 13(d)(v).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7. A new paragraph No. 4(a)(xi)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There shall be no lending below the benchmark rate for a particular maturity for all loans linked to that benchmark.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lastRenderedPageBreak/>
        <w:t xml:space="preserve">8. The existing paragraph No. 6(a)(i) of the aforesaid Master Direction stands amended as under: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All floating rate rupee loans sanctioned and renewed between July 1, 2010 and March 31, 2016 shall be priced with reference to the Base Rate which will be the internal benchmark for such purposes.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9. The existing paragraph No. 6(b)(i) of the aforesaid Master Direction stands amended as under: </w:t>
      </w:r>
    </w:p>
    <w:p w:rsidR="00301975" w:rsidRPr="006C748F" w:rsidRDefault="00301975" w:rsidP="006C748F">
      <w:pPr>
        <w:pStyle w:val="NoSpacing"/>
        <w:spacing w:line="276" w:lineRule="auto"/>
        <w:jc w:val="both"/>
        <w:rPr>
          <w:rFonts w:ascii="Times New Roman" w:hAnsi="Times New Roman" w:cs="Times New Roman"/>
          <w:sz w:val="24"/>
          <w:szCs w:val="24"/>
        </w:rPr>
      </w:pPr>
    </w:p>
    <w:p w:rsidR="00301975" w:rsidRPr="006C748F" w:rsidRDefault="00301975"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10. A new paragraph No. 9 (i)(d) is added to the aforesaid Master Direction as indicated below: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The periodicity of the reset under MCLR shall correspond to the tenor/maturity of the MCLR to which the loan is linked.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11. The following part of the sub-paragraphs (a), (b), (c) of para 13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“shall be exempted from being linked to Base rate/MCLR as the benchmark for determining interest rate’’ </w:t>
      </w:r>
    </w:p>
    <w:p w:rsidR="00301975" w:rsidRPr="006C748F" w:rsidRDefault="00301975" w:rsidP="006C748F">
      <w:pPr>
        <w:pStyle w:val="Default"/>
        <w:spacing w:line="276" w:lineRule="auto"/>
        <w:jc w:val="both"/>
        <w:rPr>
          <w:rFonts w:ascii="Times New Roman" w:hAnsi="Times New Roman" w:cs="Times New Roman"/>
          <w:color w:val="auto"/>
        </w:rPr>
      </w:pP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12. The following part of the paragraph 13(d) of the aforesaid Master Direction as indicated hereunder stands deleted: </w:t>
      </w:r>
    </w:p>
    <w:p w:rsidR="00301975" w:rsidRPr="006C748F" w:rsidRDefault="00301975"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“shall be priced without being linked to Base rate/MCLR as the benchmark for determining interest rate’’</w:t>
      </w:r>
    </w:p>
    <w:p w:rsidR="00301975" w:rsidRPr="006C748F" w:rsidRDefault="00301975" w:rsidP="006C748F">
      <w:pPr>
        <w:autoSpaceDE w:val="0"/>
        <w:autoSpaceDN w:val="0"/>
        <w:adjustRightInd w:val="0"/>
        <w:spacing w:after="0" w:line="276" w:lineRule="auto"/>
        <w:jc w:val="both"/>
        <w:rPr>
          <w:rFonts w:ascii="Times New Roman" w:hAnsi="Times New Roman" w:cs="Times New Roman"/>
          <w:color w:val="000000"/>
          <w:sz w:val="24"/>
          <w:szCs w:val="24"/>
        </w:rPr>
      </w:pP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September 12, </w:t>
      </w:r>
      <w:r w:rsidR="004958B1" w:rsidRPr="004958B1">
        <w:rPr>
          <w:rFonts w:ascii="Times New Roman" w:hAnsi="Times New Roman" w:cs="Times New Roman"/>
          <w:b/>
          <w:color w:val="FF0000"/>
          <w:u w:val="single"/>
        </w:rPr>
        <w:t>2019 -</w:t>
      </w:r>
      <w:r w:rsidRPr="004958B1">
        <w:rPr>
          <w:rFonts w:ascii="Times New Roman" w:hAnsi="Times New Roman" w:cs="Times New Roman"/>
          <w:b/>
          <w:color w:val="FF0000"/>
          <w:u w:val="single"/>
        </w:rPr>
        <w:t xml:space="preserve"> </w:t>
      </w:r>
    </w:p>
    <w:p w:rsidR="00237CB6" w:rsidRPr="004958B1" w:rsidRDefault="00237CB6"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Large Exposures Framework</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Please refer to paragraph 7 (a) of the Statement on Developmental and Regulatory Policies dated August 7, 2019 on ‘Harmonisation of single counterparty exposure limit for banks’ exposures to a single NBFC with general single counterparty exposure limit’ </w:t>
      </w:r>
      <w:r w:rsidRPr="006C748F">
        <w:rPr>
          <w:rFonts w:ascii="Times New Roman" w:hAnsi="Times New Roman" w:cs="Times New Roman"/>
          <w:b/>
          <w:bCs/>
          <w:color w:val="auto"/>
        </w:rPr>
        <w:t>(</w:t>
      </w:r>
      <w:r w:rsidRPr="006C748F">
        <w:rPr>
          <w:rFonts w:ascii="Times New Roman" w:hAnsi="Times New Roman" w:cs="Times New Roman"/>
          <w:color w:val="auto"/>
        </w:rPr>
        <w:t xml:space="preserve">extract enclosed).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2. In terms of circular DBR.No.BP.BC.43/21.01.003/2018-19 dated June 03, 2019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 </w:t>
      </w:r>
    </w:p>
    <w:p w:rsidR="00237CB6" w:rsidRPr="006C748F" w:rsidRDefault="00237CB6" w:rsidP="006C748F">
      <w:pPr>
        <w:pStyle w:val="Default"/>
        <w:spacing w:line="276" w:lineRule="auto"/>
        <w:jc w:val="both"/>
        <w:rPr>
          <w:rFonts w:ascii="Times New Roman" w:hAnsi="Times New Roman" w:cs="Times New Roman"/>
          <w:color w:val="auto"/>
        </w:rPr>
      </w:pPr>
    </w:p>
    <w:p w:rsidR="00237CB6" w:rsidRPr="006C748F" w:rsidRDefault="00237CB6" w:rsidP="006C748F">
      <w:pPr>
        <w:pStyle w:val="Default"/>
        <w:spacing w:line="276" w:lineRule="auto"/>
        <w:jc w:val="both"/>
        <w:rPr>
          <w:rFonts w:ascii="Times New Roman" w:hAnsi="Times New Roman" w:cs="Times New Roman"/>
          <w:color w:val="auto"/>
        </w:rPr>
      </w:pPr>
      <w:r w:rsidRPr="006C748F">
        <w:rPr>
          <w:rFonts w:ascii="Times New Roman" w:hAnsi="Times New Roman" w:cs="Times New Roman"/>
          <w:color w:val="auto"/>
        </w:rPr>
        <w:t xml:space="preserve">3. It has been decided that a bank’s exposure to a single NBFC (excluding gold loan companies) will be restricted to 20 percent of that bank’s eligible capital base. Bank finance to NBFCs </w:t>
      </w:r>
      <w:r w:rsidRPr="006C748F">
        <w:rPr>
          <w:rFonts w:ascii="Times New Roman" w:hAnsi="Times New Roman" w:cs="Times New Roman"/>
          <w:color w:val="auto"/>
        </w:rPr>
        <w:lastRenderedPageBreak/>
        <w:t xml:space="preserve">predominantly engaged in lending against gold will continue to be governed by limits prescribed in circular DBOD.BP.BC.No.106/21.04.172/2011-12 dated May 18, 2012. </w:t>
      </w:r>
    </w:p>
    <w:p w:rsidR="00237CB6" w:rsidRPr="006C748F" w:rsidRDefault="00237CB6" w:rsidP="006C748F">
      <w:pPr>
        <w:pStyle w:val="Default"/>
        <w:spacing w:line="276" w:lineRule="auto"/>
        <w:jc w:val="both"/>
        <w:rPr>
          <w:rFonts w:ascii="Times New Roman" w:hAnsi="Times New Roman" w:cs="Times New Roman"/>
          <w:color w:val="auto"/>
        </w:rPr>
      </w:pP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September 12, 2019 -</w:t>
      </w:r>
      <w:r w:rsidRPr="004958B1">
        <w:rPr>
          <w:rFonts w:ascii="Times New Roman" w:hAnsi="Times New Roman" w:cs="Times New Roman"/>
          <w:color w:val="FF0000"/>
        </w:rPr>
        <w:t xml:space="preserve"> </w:t>
      </w:r>
    </w:p>
    <w:p w:rsidR="004D74DC" w:rsidRPr="004958B1" w:rsidRDefault="004D74DC"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Risk Weight for Consumer Credit except credit card receivables</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r w:rsidRPr="006C748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6C748F" w:rsidRDefault="004D74DC" w:rsidP="006C748F">
      <w:pPr>
        <w:pStyle w:val="Default"/>
        <w:spacing w:line="276" w:lineRule="auto"/>
        <w:jc w:val="both"/>
        <w:rPr>
          <w:rFonts w:ascii="Times New Roman" w:hAnsi="Times New Roman" w:cs="Times New Roman"/>
        </w:rPr>
      </w:pPr>
    </w:p>
    <w:p w:rsidR="004D74DC" w:rsidRPr="006C748F" w:rsidRDefault="004D74DC" w:rsidP="006C748F">
      <w:pPr>
        <w:pStyle w:val="Default"/>
        <w:spacing w:line="276" w:lineRule="auto"/>
        <w:jc w:val="both"/>
        <w:rPr>
          <w:rFonts w:ascii="Times New Roman" w:hAnsi="Times New Roman" w:cs="Times New Roman"/>
        </w:rPr>
      </w:pP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Dated November </w:t>
      </w:r>
      <w:proofErr w:type="gramStart"/>
      <w:r w:rsidRPr="004958B1">
        <w:rPr>
          <w:rFonts w:ascii="Times New Roman" w:hAnsi="Times New Roman" w:cs="Times New Roman"/>
          <w:b/>
          <w:color w:val="FF0000"/>
          <w:u w:val="single"/>
        </w:rPr>
        <w:t>7 ,</w:t>
      </w:r>
      <w:proofErr w:type="gramEnd"/>
      <w:r w:rsidRPr="004958B1">
        <w:rPr>
          <w:rFonts w:ascii="Times New Roman" w:hAnsi="Times New Roman" w:cs="Times New Roman"/>
          <w:b/>
          <w:color w:val="FF0000"/>
          <w:u w:val="single"/>
        </w:rPr>
        <w:t xml:space="preserve"> 2019 –  </w:t>
      </w:r>
    </w:p>
    <w:p w:rsidR="00734259" w:rsidRPr="004958B1" w:rsidRDefault="0073425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Auction of State Development Loans: Non-Competitive Bidding Facility to Retail Investors</w:t>
      </w:r>
    </w:p>
    <w:p w:rsidR="00734259" w:rsidRPr="006C748F" w:rsidRDefault="00734259" w:rsidP="006C748F">
      <w:pPr>
        <w:pStyle w:val="Default"/>
        <w:spacing w:line="276" w:lineRule="auto"/>
        <w:jc w:val="both"/>
        <w:rPr>
          <w:rFonts w:ascii="Times New Roman" w:hAnsi="Times New Roman" w:cs="Times New Roman"/>
          <w:b/>
          <w:bCs/>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our circular </w:t>
      </w:r>
      <w:proofErr w:type="spellStart"/>
      <w:r w:rsidRPr="006C748F">
        <w:rPr>
          <w:rFonts w:ascii="Times New Roman" w:hAnsi="Times New Roman" w:cs="Times New Roman"/>
        </w:rPr>
        <w:t>IDMD.No</w:t>
      </w:r>
      <w:proofErr w:type="spellEnd"/>
      <w:r w:rsidRPr="006C748F">
        <w:rPr>
          <w:rFonts w:ascii="Times New Roman" w:hAnsi="Times New Roman" w:cs="Times New Roman"/>
        </w:rPr>
        <w:t xml:space="preserve">. 954/08.03.001/2009-10 dated August 24, 2009, whereby the facility of non-competitive bidding in State Development Loans (SDLs) was allowed to retail investors.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As part of the overall strategy of diversifying the investor base for SDLs, Reserve Bank of India has been taking various measures to encourage participation of retail investors in SDL market including introduction of non-competitive bidding in primary auctions. In continuation of this endeavour, RBI had announced in the Statement on Developmental and Regulatory Policies released with the Second Bi-monthly Monetary Policy Statement 2019-20, on June 06, 2019, that Specified Stock Exchanges will be permitted to act as Aggregators/ Facilitators to aggregate the bids of their stockbrokers/ other retail participants and submit a single consolidated bid under the non-competitive segment of the primary auctions of State Development Loans (SDLs). In line with this announcement and as per the provisions on non-competitive bidding included in the General Notification of States on ‘Issue of State Government Securities’, it has been decided that, in addition to scheduled banks and primary dealers,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a) Specified stock exchanges will be permitted to act as Aggregators/ Facilitators. </w:t>
      </w:r>
    </w:p>
    <w:p w:rsidR="00734259" w:rsidRPr="006C748F" w:rsidRDefault="00734259" w:rsidP="006C748F">
      <w:pPr>
        <w:pStyle w:val="Default"/>
        <w:spacing w:line="276" w:lineRule="auto"/>
        <w:jc w:val="both"/>
        <w:rPr>
          <w:rFonts w:ascii="Times New Roman" w:hAnsi="Times New Roman" w:cs="Times New Roman"/>
          <w:b/>
          <w:u w:val="single"/>
        </w:rPr>
      </w:pPr>
    </w:p>
    <w:p w:rsidR="00C36585" w:rsidRPr="00C36585"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t>b) These stock exchanges will submit a single consolidated non-competitive bid in the auction process and will put in place necessary processes to transfer the securities so allotted in the primary auction to their members/ clients.</w:t>
      </w:r>
    </w:p>
    <w:p w:rsidR="00734259" w:rsidRPr="006C748F" w:rsidRDefault="00C36585" w:rsidP="00C36585">
      <w:pPr>
        <w:spacing w:line="276" w:lineRule="auto"/>
        <w:jc w:val="both"/>
        <w:rPr>
          <w:rFonts w:ascii="Times New Roman" w:hAnsi="Times New Roman" w:cs="Times New Roman"/>
          <w:sz w:val="24"/>
          <w:szCs w:val="24"/>
        </w:rPr>
      </w:pPr>
      <w:r w:rsidRPr="00C36585">
        <w:rPr>
          <w:rFonts w:ascii="Times New Roman" w:hAnsi="Times New Roman" w:cs="Times New Roman"/>
          <w:sz w:val="24"/>
          <w:szCs w:val="24"/>
        </w:rPr>
        <w:lastRenderedPageBreak/>
        <w:t>c) Stock exchanges, desirous of acting as Aggregators/ Facilitators, may approach CGM, IDMD, Reserve Bank of India, with a copy of the No Objection Certificate (NOC) from SEBI, for necessary approvals.</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November</w:t>
      </w:r>
      <w:proofErr w:type="gramEnd"/>
      <w:r w:rsidRPr="004958B1">
        <w:rPr>
          <w:rFonts w:ascii="Times New Roman" w:hAnsi="Times New Roman" w:cs="Times New Roman"/>
          <w:b/>
          <w:color w:val="FF0000"/>
          <w:u w:val="single"/>
        </w:rPr>
        <w:t xml:space="preserve"> 28, 2019 - </w:t>
      </w:r>
    </w:p>
    <w:p w:rsidR="00734259" w:rsidRPr="004958B1" w:rsidRDefault="0073425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Repurchase Transactions (Repo) (Reserve Bank) Directions, 2018 - Amendment</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Repurchase Transactions (Repo) (Reserve Bank) Directions, 2018 dated July 24, 2018.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Units of Debt Exchange Traded Funds (Debt ETFs) shall henceforth be eligible securities for repo transactions. </w:t>
      </w:r>
    </w:p>
    <w:p w:rsidR="00734259" w:rsidRPr="006C748F" w:rsidRDefault="00734259" w:rsidP="006C748F">
      <w:pPr>
        <w:pStyle w:val="Default"/>
        <w:spacing w:line="276" w:lineRule="auto"/>
        <w:jc w:val="both"/>
        <w:rPr>
          <w:rFonts w:ascii="Times New Roman" w:hAnsi="Times New Roman" w:cs="Times New Roman"/>
        </w:rPr>
      </w:pPr>
    </w:p>
    <w:p w:rsidR="00734259" w:rsidRPr="006C748F" w:rsidRDefault="00734259" w:rsidP="006C748F">
      <w:pPr>
        <w:pStyle w:val="Default"/>
        <w:spacing w:line="276" w:lineRule="auto"/>
        <w:jc w:val="both"/>
        <w:rPr>
          <w:rFonts w:ascii="Times New Roman" w:hAnsi="Times New Roman" w:cs="Times New Roman"/>
        </w:rPr>
      </w:pPr>
      <w:r w:rsidRPr="006C748F">
        <w:rPr>
          <w:rFonts w:ascii="Times New Roman" w:hAnsi="Times New Roman" w:cs="Times New Roman"/>
        </w:rPr>
        <w:t>3. The Directions, revised as above, are enclosed.</w:t>
      </w:r>
    </w:p>
    <w:p w:rsidR="00734259" w:rsidRPr="006C748F" w:rsidRDefault="00734259" w:rsidP="006C748F">
      <w:pPr>
        <w:pStyle w:val="Default"/>
        <w:spacing w:line="276" w:lineRule="auto"/>
        <w:jc w:val="both"/>
        <w:rPr>
          <w:rFonts w:ascii="Times New Roman" w:hAnsi="Times New Roman" w:cs="Times New Roman"/>
        </w:rPr>
      </w:pPr>
    </w:p>
    <w:p w:rsidR="000B5EC7" w:rsidRPr="004958B1" w:rsidRDefault="000B5EC7" w:rsidP="006C748F">
      <w:pPr>
        <w:pStyle w:val="NoSpacing"/>
        <w:spacing w:line="276" w:lineRule="auto"/>
        <w:jc w:val="both"/>
        <w:rPr>
          <w:rFonts w:ascii="Times New Roman" w:hAnsi="Times New Roman" w:cs="Times New Roman"/>
          <w:b/>
          <w:color w:val="FF0000"/>
          <w:sz w:val="24"/>
          <w:szCs w:val="24"/>
        </w:rPr>
      </w:pPr>
      <w:r w:rsidRPr="004958B1">
        <w:rPr>
          <w:rFonts w:ascii="Times New Roman" w:hAnsi="Times New Roman" w:cs="Times New Roman"/>
          <w:color w:val="FF0000"/>
          <w:sz w:val="24"/>
          <w:szCs w:val="24"/>
        </w:rPr>
        <w:t>N</w:t>
      </w:r>
      <w:r w:rsidRPr="004958B1">
        <w:rPr>
          <w:rFonts w:ascii="Times New Roman" w:hAnsi="Times New Roman" w:cs="Times New Roman"/>
          <w:b/>
          <w:color w:val="FF0000"/>
          <w:sz w:val="24"/>
          <w:szCs w:val="24"/>
        </w:rPr>
        <w:t xml:space="preserve">otification Dated November 4th, 2019 </w:t>
      </w:r>
    </w:p>
    <w:p w:rsidR="000B5EC7" w:rsidRPr="004958B1" w:rsidRDefault="000B5EC7"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Liquidity Risk Management Framework for Non-Banking Financial Companies and Core Investment Companies</w:t>
      </w:r>
    </w:p>
    <w:p w:rsidR="000B5EC7" w:rsidRPr="006C748F" w:rsidRDefault="000B5EC7" w:rsidP="006C748F">
      <w:pPr>
        <w:pStyle w:val="Default"/>
        <w:spacing w:line="276" w:lineRule="auto"/>
        <w:jc w:val="both"/>
        <w:rPr>
          <w:rFonts w:ascii="Times New Roman" w:hAnsi="Times New Roman" w:cs="Times New Roman"/>
          <w:b/>
          <w:bCs/>
        </w:rPr>
      </w:pPr>
    </w:p>
    <w:p w:rsidR="000B5EC7" w:rsidRPr="006C748F" w:rsidRDefault="000B5EC7"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Please refer to paragraph 108 and paragraph 94 of Master Direction - Non-Banking Financial Company - Systemically Important Non-Deposit taking Company and Deposit taking Company (Reserve Bank) Directions, 2016, and Master Direction - Non-Banking Financial Company – Non-Systemically Important Non-Deposit taking Company (Reserve Bank) Directions, 2016, both dated September 1, 2016, respectively. </w:t>
      </w:r>
    </w:p>
    <w:p w:rsidR="000B5EC7" w:rsidRDefault="00DD4733" w:rsidP="006C748F">
      <w:pPr>
        <w:autoSpaceDE w:val="0"/>
        <w:autoSpaceDN w:val="0"/>
        <w:adjustRightInd w:val="0"/>
        <w:spacing w:after="0" w:line="276" w:lineRule="auto"/>
        <w:jc w:val="both"/>
      </w:pPr>
      <w:hyperlink r:id="rId6" w:history="1">
        <w:r w:rsidR="0092337F">
          <w:rPr>
            <w:rStyle w:val="Hyperlink"/>
          </w:rPr>
          <w:t>https://www.rbi.org.in/Scripts/NotificationUser.aspx?Id=11719&amp;Mode=0</w:t>
        </w:r>
      </w:hyperlink>
    </w:p>
    <w:p w:rsidR="0092337F" w:rsidRPr="006C748F" w:rsidRDefault="0092337F" w:rsidP="006C748F">
      <w:pPr>
        <w:autoSpaceDE w:val="0"/>
        <w:autoSpaceDN w:val="0"/>
        <w:adjustRightInd w:val="0"/>
        <w:spacing w:after="0" w:line="276" w:lineRule="auto"/>
        <w:jc w:val="both"/>
        <w:rPr>
          <w:rFonts w:ascii="Times New Roman" w:hAnsi="Times New Roman" w:cs="Times New Roman"/>
          <w:b/>
          <w:bCs/>
          <w:color w:val="000000"/>
          <w:sz w:val="24"/>
          <w:szCs w:val="24"/>
        </w:rPr>
      </w:pPr>
    </w:p>
    <w:p w:rsidR="00203CF8" w:rsidRPr="004958B1" w:rsidRDefault="00203CF8"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8</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NOVEMBER 2019- QUALIFYING ASSETS CRITERIA - REVIEW OF LIMITS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Please refer to the Statement on Developmental and Regulatory Policies issued as part of Monetary Policy Statement dated October 4, 2019 and Para 3 of </w:t>
      </w:r>
      <w:proofErr w:type="spellStart"/>
      <w:r w:rsidRPr="006C748F">
        <w:rPr>
          <w:rFonts w:ascii="Times New Roman" w:hAnsi="Times New Roman" w:cs="Times New Roman"/>
          <w:sz w:val="24"/>
          <w:szCs w:val="24"/>
        </w:rPr>
        <w:t>theNon</w:t>
      </w:r>
      <w:proofErr w:type="spellEnd"/>
      <w:r w:rsidRPr="006C748F">
        <w:rPr>
          <w:rFonts w:ascii="Times New Roman" w:hAnsi="Times New Roman" w:cs="Times New Roman"/>
          <w:sz w:val="24"/>
          <w:szCs w:val="24"/>
        </w:rPr>
        <w:t>-Banking Financial Company - Systemically Important Non-Deposit taking Company and Deposit taking Company (Reserve Bank) Directions, 2016 and the Non-Banking Financial Company – Non-Systemically Important Non-Deposit taking Company (Reserve Bank) Directions, 2016 prescribing the eligibility criteria for classification under ‘Qualifying Assets’ for NBFC-MFIs.</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3. Further, the limit on total indebtedness of the borrower has been increased from ₹1,00,000 to ₹1,25,000. In light of the revision to the limit on total indebtedness, the limits on disbursal </w:t>
      </w:r>
      <w:r w:rsidRPr="006C748F">
        <w:rPr>
          <w:rFonts w:ascii="Times New Roman" w:hAnsi="Times New Roman" w:cs="Times New Roman"/>
          <w:sz w:val="24"/>
          <w:szCs w:val="24"/>
        </w:rPr>
        <w:lastRenderedPageBreak/>
        <w:t>of loans have been raised from ₹60,000 for the first cycle and ₹1,00,000 for the subsequent cycles to ₹75,000 and ₹1,25,000 respectively.</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4. These instructions shall come into effect from the date of this circular.</w:t>
      </w:r>
    </w:p>
    <w:p w:rsidR="00203CF8" w:rsidRPr="006C748F" w:rsidRDefault="00203CF8"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5. All other terms and conditions specified under the master directions shall remain unchanged. The master directions, ibid, are being modified accordingly.</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rPr>
        <w:t>Notification Dated November 11, 2019 –</w:t>
      </w:r>
      <w:r w:rsidRPr="004958B1">
        <w:rPr>
          <w:rFonts w:ascii="Times New Roman" w:hAnsi="Times New Roman" w:cs="Times New Roman"/>
          <w:color w:val="FF0000"/>
        </w:rPr>
        <w:t xml:space="preserve"> </w:t>
      </w:r>
    </w:p>
    <w:p w:rsidR="0044166F" w:rsidRPr="004958B1" w:rsidRDefault="0044166F"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bCs/>
          <w:color w:val="FF0000"/>
        </w:rPr>
        <w:t>Withdrawal of exemptions granted to Housing Finance Institutions</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1 of our Master Direction – Exemptions from the provisions of RBI Act, 1934.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make the provisions of Chapter IIIB except Section 45-IA of Reserve Bank of India Act, 1934, applicable to them.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Master Direction – Exemptions from the provisions of RBI Act, 1934 has been updated accordingly. </w:t>
      </w:r>
    </w:p>
    <w:p w:rsidR="0044166F" w:rsidRPr="006C748F" w:rsidRDefault="0044166F"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r w:rsidRPr="006C748F">
        <w:rPr>
          <w:rFonts w:ascii="Times New Roman" w:hAnsi="Times New Roman" w:cs="Times New Roman"/>
        </w:rPr>
        <w:t>4. Necessary notification withdrawing the exemption under Section 45 NC of the RBI Act, 1934 shall be issued separately.</w:t>
      </w:r>
    </w:p>
    <w:p w:rsidR="0044166F" w:rsidRPr="006C748F" w:rsidRDefault="0044166F" w:rsidP="006C748F">
      <w:pPr>
        <w:pStyle w:val="Default"/>
        <w:spacing w:line="276" w:lineRule="auto"/>
        <w:jc w:val="both"/>
        <w:rPr>
          <w:rFonts w:ascii="Times New Roman" w:hAnsi="Times New Roman" w:cs="Times New Roman"/>
        </w:rPr>
      </w:pPr>
    </w:p>
    <w:p w:rsidR="0044166F" w:rsidRPr="004958B1" w:rsidRDefault="0044166F" w:rsidP="006C748F">
      <w:pPr>
        <w:spacing w:line="276" w:lineRule="auto"/>
        <w:jc w:val="both"/>
        <w:rPr>
          <w:rFonts w:ascii="Times New Roman" w:hAnsi="Times New Roman" w:cs="Times New Roman"/>
          <w:b/>
          <w:color w:val="FF0000"/>
          <w:sz w:val="24"/>
          <w:szCs w:val="24"/>
          <w:u w:val="single"/>
        </w:rPr>
      </w:pPr>
      <w:r w:rsidRPr="004958B1">
        <w:rPr>
          <w:rFonts w:ascii="Times New Roman" w:hAnsi="Times New Roman" w:cs="Times New Roman"/>
          <w:b/>
          <w:color w:val="FF0000"/>
          <w:sz w:val="24"/>
          <w:szCs w:val="24"/>
          <w:u w:val="single"/>
        </w:rPr>
        <w:t>NOTIFICATION DATED 6</w:t>
      </w:r>
      <w:r w:rsidRPr="004958B1">
        <w:rPr>
          <w:rFonts w:ascii="Times New Roman" w:hAnsi="Times New Roman" w:cs="Times New Roman"/>
          <w:b/>
          <w:color w:val="FF0000"/>
          <w:sz w:val="24"/>
          <w:szCs w:val="24"/>
          <w:u w:val="single"/>
          <w:vertAlign w:val="superscript"/>
        </w:rPr>
        <w:t>th</w:t>
      </w:r>
      <w:r w:rsidRPr="004958B1">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Please refer to para 2(A) of Circular DNBS (PD) CC.No.37/SCRC/26.03.001/2013-2014 dated March 19, 2014.</w:t>
      </w:r>
      <w:r w:rsidRPr="006C748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w:t>
      </w:r>
      <w:proofErr w:type="spellStart"/>
      <w:r w:rsidRPr="006C748F">
        <w:rPr>
          <w:rFonts w:ascii="Times New Roman" w:hAnsi="Times New Roman" w:cs="Times New Roman"/>
          <w:sz w:val="24"/>
          <w:szCs w:val="24"/>
        </w:rPr>
        <w:t>i</w:t>
      </w:r>
      <w:proofErr w:type="spellEnd"/>
      <w:r w:rsidRPr="006C748F">
        <w:rPr>
          <w:rFonts w:ascii="Times New Roman" w:hAnsi="Times New Roman" w:cs="Times New Roman"/>
          <w:sz w:val="24"/>
          <w:szCs w:val="24"/>
        </w:rPr>
        <w:t>) a bank/ financial institution which is the sponsor of the ARC;</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(iii) an entity in the group to which the ARC belongs.</w:t>
      </w:r>
    </w:p>
    <w:p w:rsidR="0044166F" w:rsidRPr="006C748F" w:rsidRDefault="0044166F" w:rsidP="006C748F">
      <w:pPr>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6C748F" w:rsidRDefault="00FD7D09" w:rsidP="006C748F">
      <w:pPr>
        <w:pStyle w:val="Default"/>
        <w:spacing w:line="276" w:lineRule="auto"/>
        <w:jc w:val="both"/>
        <w:rPr>
          <w:rFonts w:ascii="Times New Roman" w:hAnsi="Times New Roman" w:cs="Times New Roman"/>
          <w:b/>
          <w:u w:val="single"/>
        </w:rPr>
      </w:pPr>
    </w:p>
    <w:p w:rsidR="00FD7D09" w:rsidRPr="004958B1" w:rsidRDefault="00FD7D09" w:rsidP="006C748F">
      <w:pPr>
        <w:pStyle w:val="Default"/>
        <w:spacing w:line="276" w:lineRule="auto"/>
        <w:jc w:val="both"/>
        <w:rPr>
          <w:rFonts w:ascii="Times New Roman" w:hAnsi="Times New Roman" w:cs="Times New Roman"/>
          <w:color w:val="FF0000"/>
        </w:rPr>
      </w:pPr>
      <w:r w:rsidRPr="004958B1">
        <w:rPr>
          <w:rFonts w:ascii="Times New Roman" w:hAnsi="Times New Roman" w:cs="Times New Roman"/>
          <w:b/>
          <w:color w:val="FF0000"/>
          <w:u w:val="single"/>
        </w:rPr>
        <w:lastRenderedPageBreak/>
        <w:t xml:space="preserve">Notification Dated December 31, 2019 </w:t>
      </w:r>
    </w:p>
    <w:p w:rsidR="00FD7D09" w:rsidRPr="004958B1" w:rsidRDefault="00FD7D09" w:rsidP="006C748F">
      <w:pPr>
        <w:pStyle w:val="Default"/>
        <w:spacing w:line="276" w:lineRule="auto"/>
        <w:jc w:val="both"/>
        <w:rPr>
          <w:rFonts w:ascii="Times New Roman" w:hAnsi="Times New Roman" w:cs="Times New Roman"/>
          <w:b/>
          <w:bCs/>
          <w:color w:val="FF0000"/>
        </w:rPr>
      </w:pPr>
      <w:r w:rsidRPr="004958B1">
        <w:rPr>
          <w:rFonts w:ascii="Times New Roman" w:hAnsi="Times New Roman" w:cs="Times New Roman"/>
          <w:b/>
          <w:bCs/>
          <w:color w:val="FF0000"/>
        </w:rPr>
        <w:t>Cyber Security controls for Third party ATM Switch Application Service Providers</w:t>
      </w:r>
    </w:p>
    <w:p w:rsidR="00FD7D09" w:rsidRPr="006C748F" w:rsidRDefault="00FD7D09" w:rsidP="006C748F">
      <w:pPr>
        <w:pStyle w:val="Default"/>
        <w:spacing w:line="276" w:lineRule="auto"/>
        <w:jc w:val="both"/>
        <w:rPr>
          <w:rFonts w:ascii="Times New Roman" w:hAnsi="Times New Roman" w:cs="Times New Roman"/>
          <w:b/>
          <w:bCs/>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para I (8) of the Statement on Developmental and Regulatory policies of the Fifth Bi-monthly Monetary Policy Statement for 2019-20 dated December 5, 2019 (extract enclosed).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r w:rsidRPr="006C748F">
        <w:rPr>
          <w:rFonts w:ascii="Times New Roman" w:hAnsi="Times New Roman" w:cs="Times New Roman"/>
          <w:b/>
          <w:bCs/>
        </w:rPr>
        <w:t xml:space="preserve">Annex </w:t>
      </w:r>
      <w:r w:rsidRPr="006C748F">
        <w:rPr>
          <w:rFonts w:ascii="Times New Roman" w:hAnsi="Times New Roman" w:cs="Times New Roman"/>
        </w:rPr>
        <w:t xml:space="preserve">on an ongoing basis and to provide access to the RBI for on-site/off-site supervision. To this effect, the contract agreements shall be amended at the earliest or at the time of renewal, in any case not later than March 31, 2020.The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3. The regulatory instructions issued from time to time in terms of circulars/advisories/alerts, as applicable to the ATM switch ecosystem shall be shared with the ASPs for necessary compliance.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4. A copy of this circular may be placed before the Board of Directors in its ensuing meeting. </w:t>
      </w:r>
    </w:p>
    <w:p w:rsidR="00FD7D09" w:rsidRPr="006C748F" w:rsidRDefault="00FD7D09" w:rsidP="006C748F">
      <w:pPr>
        <w:pStyle w:val="Default"/>
        <w:spacing w:line="276" w:lineRule="auto"/>
        <w:jc w:val="both"/>
        <w:rPr>
          <w:rFonts w:ascii="Times New Roman" w:hAnsi="Times New Roman" w:cs="Times New Roman"/>
        </w:rPr>
      </w:pPr>
    </w:p>
    <w:p w:rsidR="00FD7D09" w:rsidRPr="006C748F" w:rsidRDefault="00FD7D0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5. Please acknowledge receipt. </w:t>
      </w:r>
    </w:p>
    <w:p w:rsidR="00FD7D09" w:rsidRPr="006C748F" w:rsidRDefault="00FD7D09" w:rsidP="006C748F">
      <w:pPr>
        <w:pStyle w:val="Default"/>
        <w:spacing w:line="276" w:lineRule="auto"/>
        <w:jc w:val="both"/>
        <w:rPr>
          <w:rFonts w:ascii="Times New Roman" w:hAnsi="Times New Roman" w:cs="Times New Roman"/>
        </w:rPr>
      </w:pPr>
    </w:p>
    <w:p w:rsidR="0044166F" w:rsidRPr="006C748F" w:rsidRDefault="0044166F" w:rsidP="006C748F">
      <w:pPr>
        <w:pStyle w:val="Default"/>
        <w:spacing w:line="276" w:lineRule="auto"/>
        <w:jc w:val="both"/>
        <w:rPr>
          <w:rFonts w:ascii="Times New Roman" w:hAnsi="Times New Roman" w:cs="Times New Roman"/>
        </w:rPr>
      </w:pP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color w:val="FF0000"/>
          <w:u w:val="single"/>
        </w:rPr>
        <w:t xml:space="preserve">Notification </w:t>
      </w:r>
      <w:proofErr w:type="gramStart"/>
      <w:r w:rsidRPr="004958B1">
        <w:rPr>
          <w:rFonts w:ascii="Times New Roman" w:hAnsi="Times New Roman" w:cs="Times New Roman"/>
          <w:b/>
          <w:color w:val="FF0000"/>
          <w:u w:val="single"/>
        </w:rPr>
        <w:t>Dated  December</w:t>
      </w:r>
      <w:proofErr w:type="gramEnd"/>
      <w:r w:rsidRPr="004958B1">
        <w:rPr>
          <w:rFonts w:ascii="Times New Roman" w:hAnsi="Times New Roman" w:cs="Times New Roman"/>
          <w:b/>
          <w:color w:val="FF0000"/>
          <w:u w:val="single"/>
        </w:rPr>
        <w:t xml:space="preserve"> 31st, 2019 </w:t>
      </w:r>
    </w:p>
    <w:p w:rsidR="00961419" w:rsidRPr="004958B1" w:rsidRDefault="00961419" w:rsidP="006C748F">
      <w:pPr>
        <w:pStyle w:val="Default"/>
        <w:spacing w:line="276" w:lineRule="auto"/>
        <w:jc w:val="both"/>
        <w:rPr>
          <w:rFonts w:ascii="Times New Roman" w:hAnsi="Times New Roman" w:cs="Times New Roman"/>
          <w:b/>
          <w:color w:val="FF0000"/>
          <w:u w:val="single"/>
        </w:rPr>
      </w:pPr>
      <w:r w:rsidRPr="004958B1">
        <w:rPr>
          <w:rFonts w:ascii="Times New Roman" w:hAnsi="Times New Roman" w:cs="Times New Roman"/>
          <w:b/>
          <w:bCs/>
          <w:color w:val="FF0000"/>
        </w:rPr>
        <w:t>Extension of relaxation on the guidelines to NBFCs on securitisation transactions</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the circular DNBR (PD)CC.No.95/03.10.001/2018-19 dated November 29, 2018 on “Relaxation on the guidelines to NBFCs on securitisation transactions” and the circular DNBR (PD)CC.No.100/03.10.001/2018-19 dated May 29, 2019 extending the dispensation till December 31, 2019. </w:t>
      </w:r>
    </w:p>
    <w:p w:rsidR="00961419" w:rsidRPr="006C748F" w:rsidRDefault="00961419" w:rsidP="006C748F">
      <w:pPr>
        <w:pStyle w:val="Default"/>
        <w:spacing w:line="276" w:lineRule="auto"/>
        <w:jc w:val="both"/>
        <w:rPr>
          <w:rFonts w:ascii="Times New Roman" w:hAnsi="Times New Roman" w:cs="Times New Roman"/>
        </w:rPr>
      </w:pPr>
    </w:p>
    <w:p w:rsidR="00961419" w:rsidRPr="006C748F" w:rsidRDefault="00961419" w:rsidP="006C748F">
      <w:pPr>
        <w:pStyle w:val="Default"/>
        <w:spacing w:line="276" w:lineRule="auto"/>
        <w:jc w:val="both"/>
        <w:rPr>
          <w:rFonts w:ascii="Times New Roman" w:hAnsi="Times New Roman" w:cs="Times New Roman"/>
        </w:rPr>
      </w:pPr>
      <w:r w:rsidRPr="006C748F">
        <w:rPr>
          <w:rFonts w:ascii="Times New Roman" w:hAnsi="Times New Roman" w:cs="Times New Roman"/>
        </w:rPr>
        <w:t>2. On a review, it has been decided to extend the relaxation provided therein till June 30, 2020. All other instructions governing securitisation and direct assignment transactions remain unchanged.</w:t>
      </w:r>
    </w:p>
    <w:p w:rsidR="004958B1" w:rsidRDefault="004958B1" w:rsidP="006C748F">
      <w:pPr>
        <w:pStyle w:val="Default"/>
        <w:spacing w:line="276" w:lineRule="auto"/>
        <w:jc w:val="both"/>
        <w:rPr>
          <w:rFonts w:ascii="Times New Roman" w:hAnsi="Times New Roman" w:cs="Times New Roman"/>
          <w:b/>
          <w:u w:val="single"/>
        </w:rPr>
      </w:pP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lastRenderedPageBreak/>
        <w:t xml:space="preserve">Notification Dated December 13, 2019 </w:t>
      </w:r>
    </w:p>
    <w:p w:rsidR="004958B1" w:rsidRPr="004958B1" w:rsidRDefault="004958B1" w:rsidP="004958B1">
      <w:pPr>
        <w:pStyle w:val="NoSpacing"/>
        <w:spacing w:line="276" w:lineRule="auto"/>
        <w:jc w:val="both"/>
        <w:rPr>
          <w:rFonts w:ascii="Times New Roman" w:hAnsi="Times New Roman" w:cs="Times New Roman"/>
          <w:b/>
          <w:color w:val="C00000"/>
          <w:sz w:val="24"/>
          <w:szCs w:val="24"/>
        </w:rPr>
      </w:pPr>
      <w:r w:rsidRPr="004958B1">
        <w:rPr>
          <w:rFonts w:ascii="Times New Roman" w:hAnsi="Times New Roman" w:cs="Times New Roman"/>
          <w:b/>
          <w:color w:val="C00000"/>
          <w:sz w:val="24"/>
          <w:szCs w:val="24"/>
        </w:rPr>
        <w:t>Liquidity Support (LS) Facility - NEFT 24 x 7</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As announced in the Statement on Developmental and Regulatory Policies dated October 4, 2019, in order to facilitate smooth settlement of NEFT transactions in the accounts of the member banks maintained with the Reserve Bank in a 24x7 environment, it has been decided to provide an additional collateralised intra-day liquidity facility, to be called Liquidity Support (LS).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The salient features of the scheme are as under: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a) LS facility will be available for facilitating NEFT settlements, on 24x7 basis. The LS facility will operate as per the same terms and conditions as the Intra-Day Liquidity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b) All member banks eligible for the IDL facility will be eligible to avail of the LS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c) The limit for LS facility would be set by the Reserve Bank from time to time. Drawings under the LS facility shall be reckoned as part of the eligible IDL limit.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d) The margin requirement on LS facility would be similar to that of IDL facility.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e) Outstanding drawing at the end of the day under the LS facility will be automatically converted into borrowing under the Marginal Standing Facility (MSF).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 The above MSF borrowing reversal will take place along with other LAF operations as is currently being done.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g) The extant instructions on intra-day-liquidity and reversal of IDL shall continue, as hitherto. </w:t>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h) The Reserve Bank may review the facilities based on the experience gained in operationalizing the scheme.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0A484F" w:rsidRDefault="004958B1" w:rsidP="004958B1">
      <w:pPr>
        <w:pStyle w:val="NoSpacing"/>
        <w:spacing w:line="276" w:lineRule="auto"/>
        <w:jc w:val="both"/>
        <w:rPr>
          <w:rFonts w:ascii="Times New Roman" w:hAnsi="Times New Roman" w:cs="Times New Roman"/>
          <w:color w:val="C00000"/>
          <w:sz w:val="24"/>
          <w:szCs w:val="24"/>
        </w:rPr>
      </w:pPr>
      <w:bookmarkStart w:id="0" w:name="_GoBack"/>
      <w:bookmarkEnd w:id="0"/>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13th DECEMBER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Provision of additional Fixed-rate Reverse Repo and MSF window</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has now decided to provide an additional fixed-rate Reverse Repo and Marginal Standing Facility (MSF) window on all days as under: </w:t>
      </w:r>
    </w:p>
    <w:p w:rsidR="000A484F"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4958B1" w:rsidRDefault="000A484F" w:rsidP="000A484F">
      <w:pPr>
        <w:pStyle w:val="NoSpacing"/>
        <w:spacing w:line="276" w:lineRule="auto"/>
        <w:jc w:val="both"/>
        <w:rPr>
          <w:rFonts w:ascii="Times New Roman" w:hAnsi="Times New Roman" w:cs="Times New Roman"/>
          <w:sz w:val="24"/>
          <w:szCs w:val="24"/>
        </w:rPr>
      </w:pP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lastRenderedPageBreak/>
        <w:t xml:space="preserve">These changes will come into effect from December 16, 2019 (Monday).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4958B1" w:rsidRDefault="004958B1" w:rsidP="000A484F">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These measures would be reviewed based on experience gained.</w:t>
      </w:r>
      <w:r w:rsidRPr="004958B1">
        <w:rPr>
          <w:rFonts w:ascii="Times New Roman" w:hAnsi="Times New Roman" w:cs="Times New Roman"/>
          <w:sz w:val="24"/>
          <w:szCs w:val="24"/>
        </w:rPr>
        <w:tab/>
      </w: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ab/>
      </w:r>
      <w:r w:rsidRPr="004958B1">
        <w:rPr>
          <w:rFonts w:ascii="Times New Roman" w:hAnsi="Times New Roman" w:cs="Times New Roman"/>
          <w:sz w:val="24"/>
          <w:szCs w:val="24"/>
        </w:rPr>
        <w:tab/>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Notification Dated December 27, 2019 -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r w:rsidRPr="000A484F">
        <w:rPr>
          <w:rFonts w:ascii="Times New Roman" w:hAnsi="Times New Roman" w:cs="Times New Roman"/>
          <w:b/>
          <w:color w:val="C00000"/>
          <w:sz w:val="24"/>
          <w:szCs w:val="24"/>
        </w:rPr>
        <w:t xml:space="preserve">Reporting of Large Exposures to Central Repository of Information on Large Credits (CRILC) - UCBs  </w:t>
      </w:r>
    </w:p>
    <w:p w:rsidR="004958B1" w:rsidRPr="000A484F" w:rsidRDefault="004958B1" w:rsidP="004958B1">
      <w:pPr>
        <w:pStyle w:val="NoSpacing"/>
        <w:spacing w:line="276" w:lineRule="auto"/>
        <w:jc w:val="both"/>
        <w:rPr>
          <w:rFonts w:ascii="Times New Roman" w:hAnsi="Times New Roman" w:cs="Times New Roman"/>
          <w:b/>
          <w:color w:val="C00000"/>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4958B1" w:rsidRDefault="004958B1" w:rsidP="004958B1">
      <w:pPr>
        <w:pStyle w:val="NoSpacing"/>
        <w:spacing w:line="276" w:lineRule="auto"/>
        <w:jc w:val="both"/>
        <w:rPr>
          <w:rFonts w:ascii="Times New Roman" w:hAnsi="Times New Roman" w:cs="Times New Roman"/>
          <w:sz w:val="24"/>
          <w:szCs w:val="24"/>
        </w:rPr>
      </w:pPr>
    </w:p>
    <w:p w:rsidR="004958B1" w:rsidRPr="004958B1" w:rsidRDefault="004958B1" w:rsidP="004958B1">
      <w:pPr>
        <w:pStyle w:val="NoSpacing"/>
        <w:spacing w:line="276" w:lineRule="auto"/>
        <w:jc w:val="both"/>
        <w:rPr>
          <w:rFonts w:ascii="Times New Roman" w:hAnsi="Times New Roman" w:cs="Times New Roman"/>
          <w:sz w:val="24"/>
          <w:szCs w:val="24"/>
        </w:rPr>
      </w:pPr>
      <w:r w:rsidRPr="004958B1">
        <w:rPr>
          <w:rFonts w:ascii="Times New Roman" w:hAnsi="Times New Roman" w:cs="Times New Roman"/>
          <w:sz w:val="24"/>
          <w:szCs w:val="24"/>
        </w:rPr>
        <w:t xml:space="preserve">2. It has been decided that Primary (Urban) Co-operative Banks (UCBs) having total assets of ₹500 </w:t>
      </w:r>
      <w:proofErr w:type="gramStart"/>
      <w:r w:rsidRPr="004958B1">
        <w:rPr>
          <w:rFonts w:ascii="Times New Roman" w:hAnsi="Times New Roman" w:cs="Times New Roman"/>
          <w:sz w:val="24"/>
          <w:szCs w:val="24"/>
        </w:rPr>
        <w:t>crore</w:t>
      </w:r>
      <w:proofErr w:type="gramEnd"/>
      <w:r w:rsidRPr="004958B1">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Default="004958B1" w:rsidP="004958B1">
      <w:pPr>
        <w:pStyle w:val="NoSpacing"/>
        <w:spacing w:line="276" w:lineRule="auto"/>
        <w:jc w:val="both"/>
        <w:rPr>
          <w:rFonts w:ascii="Times New Roman" w:hAnsi="Times New Roman" w:cs="Times New Roman"/>
          <w:b/>
          <w:color w:val="FF0000"/>
          <w:sz w:val="24"/>
          <w:szCs w:val="24"/>
        </w:rPr>
      </w:pPr>
    </w:p>
    <w:p w:rsidR="000A484F" w:rsidRPr="004958B1" w:rsidRDefault="000A484F" w:rsidP="004958B1">
      <w:pPr>
        <w:pStyle w:val="NoSpacing"/>
        <w:spacing w:line="276" w:lineRule="auto"/>
        <w:jc w:val="both"/>
        <w:rPr>
          <w:rFonts w:ascii="Times New Roman" w:hAnsi="Times New Roman" w:cs="Times New Roman"/>
          <w:b/>
          <w:color w:val="FF0000"/>
          <w:sz w:val="24"/>
          <w:szCs w:val="24"/>
        </w:rPr>
      </w:pPr>
    </w:p>
    <w:p w:rsidR="00674B2F" w:rsidRPr="006C748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6C748F">
        <w:rPr>
          <w:rFonts w:ascii="Times New Roman" w:hAnsi="Times New Roman" w:cs="Times New Roman"/>
          <w:color w:val="000000"/>
          <w:sz w:val="24"/>
          <w:szCs w:val="24"/>
        </w:rPr>
        <w:t xml:space="preserve">3. </w:t>
      </w:r>
      <w:r w:rsidRPr="006C748F">
        <w:rPr>
          <w:rFonts w:ascii="Times New Roman" w:hAnsi="Times New Roman" w:cs="Times New Roman"/>
          <w:b/>
          <w:bCs/>
          <w:color w:val="000000"/>
          <w:sz w:val="24"/>
          <w:szCs w:val="24"/>
        </w:rPr>
        <w:t xml:space="preserve">Special Mention Account (SMA) </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0A484F">
        <w:rPr>
          <w:rFonts w:ascii="Times New Roman" w:hAnsi="Times New Roman" w:cs="Times New Roman"/>
          <w:sz w:val="24"/>
          <w:szCs w:val="24"/>
        </w:rPr>
        <w:t>crore</w:t>
      </w:r>
      <w:proofErr w:type="gramEnd"/>
      <w:r w:rsidRPr="000A484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t>Basis of classification Principal or interest payment or any other amount wholly or partially overdue for</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w:t>
      </w:r>
      <w:r>
        <w:rPr>
          <w:rFonts w:ascii="Times New Roman" w:hAnsi="Times New Roman" w:cs="Times New Roman"/>
          <w:sz w:val="24"/>
          <w:szCs w:val="24"/>
        </w:rPr>
        <w:t xml:space="preserve"> </w:t>
      </w:r>
      <w:r w:rsidRPr="000A484F">
        <w:rPr>
          <w:rFonts w:ascii="Times New Roman" w:hAnsi="Times New Roman" w:cs="Times New Roman"/>
          <w:sz w:val="24"/>
          <w:szCs w:val="24"/>
        </w:rPr>
        <w:t>O</w:t>
      </w:r>
      <w:r w:rsidRPr="000A484F">
        <w:rPr>
          <w:rFonts w:ascii="Times New Roman" w:hAnsi="Times New Roman" w:cs="Times New Roman"/>
          <w:sz w:val="24"/>
          <w:szCs w:val="24"/>
        </w:rPr>
        <w:tab/>
        <w:t xml:space="preserve">    1-30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 - 1</w:t>
      </w:r>
      <w:r w:rsidRPr="000A484F">
        <w:rPr>
          <w:rFonts w:ascii="Times New Roman" w:hAnsi="Times New Roman" w:cs="Times New Roman"/>
          <w:sz w:val="24"/>
          <w:szCs w:val="24"/>
        </w:rPr>
        <w:tab/>
        <w:t xml:space="preserve">    31- 60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  SMA</w:t>
      </w:r>
      <w:r>
        <w:rPr>
          <w:rFonts w:ascii="Times New Roman" w:hAnsi="Times New Roman" w:cs="Times New Roman"/>
          <w:sz w:val="24"/>
          <w:szCs w:val="24"/>
        </w:rPr>
        <w:t xml:space="preserve"> </w:t>
      </w:r>
      <w:r w:rsidRPr="000A484F">
        <w:rPr>
          <w:rFonts w:ascii="Times New Roman" w:hAnsi="Times New Roman" w:cs="Times New Roman"/>
          <w:sz w:val="24"/>
          <w:szCs w:val="24"/>
        </w:rPr>
        <w:t xml:space="preserve">- 2 </w:t>
      </w:r>
      <w:r w:rsidRPr="000A484F">
        <w:rPr>
          <w:rFonts w:ascii="Times New Roman" w:hAnsi="Times New Roman" w:cs="Times New Roman"/>
          <w:sz w:val="24"/>
          <w:szCs w:val="24"/>
        </w:rPr>
        <w:tab/>
        <w:t xml:space="preserve">    61-90 days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In case of revolving credit facilities like cash credit, the SMA sub-categories will be as follows:</w:t>
      </w:r>
    </w:p>
    <w:p w:rsidR="000A484F" w:rsidRPr="000A484F" w:rsidRDefault="000A484F" w:rsidP="000A484F">
      <w:pPr>
        <w:pStyle w:val="NoSpacing"/>
        <w:spacing w:line="276" w:lineRule="auto"/>
        <w:jc w:val="both"/>
        <w:rPr>
          <w:rFonts w:ascii="Times New Roman" w:hAnsi="Times New Roman" w:cs="Times New Roman"/>
          <w:sz w:val="24"/>
          <w:szCs w:val="24"/>
        </w:rPr>
      </w:pP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Sub Categories</w:t>
      </w:r>
      <w:r w:rsidRPr="000A484F">
        <w:rPr>
          <w:rFonts w:ascii="Times New Roman" w:hAnsi="Times New Roman" w:cs="Times New Roman"/>
          <w:sz w:val="24"/>
          <w:szCs w:val="24"/>
        </w:rPr>
        <w:tab/>
      </w:r>
      <w:r>
        <w:rPr>
          <w:rFonts w:ascii="Times New Roman" w:hAnsi="Times New Roman" w:cs="Times New Roman"/>
          <w:sz w:val="24"/>
          <w:szCs w:val="24"/>
        </w:rPr>
        <w:t xml:space="preserve">- </w:t>
      </w:r>
      <w:r w:rsidRPr="000A484F">
        <w:rPr>
          <w:rFonts w:ascii="Times New Roman" w:hAnsi="Times New Roman" w:cs="Times New Roman"/>
          <w:sz w:val="24"/>
          <w:szCs w:val="24"/>
        </w:rPr>
        <w:t>Basis for Classification</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 xml:space="preserve">Outstanding balance remains continuously in excess of the sanctioned limit or drawing power whichever is lower for a period of </w:t>
      </w:r>
    </w:p>
    <w:p w:rsidR="000A484F" w:rsidRPr="000A484F" w:rsidRDefault="000A484F" w:rsidP="000A484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SMA-1</w:t>
      </w:r>
      <w:r>
        <w:rPr>
          <w:rFonts w:ascii="Times New Roman" w:hAnsi="Times New Roman" w:cs="Times New Roman"/>
          <w:sz w:val="24"/>
          <w:szCs w:val="24"/>
        </w:rPr>
        <w:tab/>
      </w:r>
      <w:r w:rsidRPr="000A484F">
        <w:rPr>
          <w:rFonts w:ascii="Times New Roman" w:hAnsi="Times New Roman" w:cs="Times New Roman"/>
          <w:sz w:val="24"/>
          <w:szCs w:val="24"/>
        </w:rPr>
        <w:t>31-60 days</w:t>
      </w:r>
    </w:p>
    <w:p w:rsidR="000A484F" w:rsidRPr="000A484F" w:rsidRDefault="000A484F" w:rsidP="000A484F">
      <w:pPr>
        <w:pStyle w:val="NoSpacing"/>
        <w:spacing w:line="276" w:lineRule="auto"/>
        <w:jc w:val="both"/>
        <w:rPr>
          <w:rFonts w:ascii="Times New Roman" w:hAnsi="Times New Roman" w:cs="Times New Roman"/>
          <w:sz w:val="24"/>
          <w:szCs w:val="24"/>
        </w:rPr>
      </w:pPr>
      <w:r w:rsidRPr="000A484F">
        <w:rPr>
          <w:rFonts w:ascii="Times New Roman" w:hAnsi="Times New Roman" w:cs="Times New Roman"/>
          <w:sz w:val="24"/>
          <w:szCs w:val="24"/>
        </w:rPr>
        <w:t>SMA 2</w:t>
      </w:r>
      <w:r w:rsidRPr="000A484F">
        <w:rPr>
          <w:rFonts w:ascii="Times New Roman" w:hAnsi="Times New Roman" w:cs="Times New Roman"/>
          <w:sz w:val="24"/>
          <w:szCs w:val="24"/>
        </w:rPr>
        <w:tab/>
      </w:r>
      <w:r>
        <w:rPr>
          <w:rFonts w:ascii="Times New Roman" w:hAnsi="Times New Roman" w:cs="Times New Roman"/>
          <w:sz w:val="24"/>
          <w:szCs w:val="24"/>
        </w:rPr>
        <w:tab/>
        <w:t>61</w:t>
      </w:r>
      <w:r w:rsidRPr="000A484F">
        <w:rPr>
          <w:rFonts w:ascii="Times New Roman" w:hAnsi="Times New Roman" w:cs="Times New Roman"/>
          <w:sz w:val="24"/>
          <w:szCs w:val="24"/>
        </w:rPr>
        <w:t>–90 days</w:t>
      </w:r>
    </w:p>
    <w:p w:rsidR="000A484F" w:rsidRDefault="000A484F" w:rsidP="006C748F">
      <w:pPr>
        <w:pStyle w:val="NoSpacing"/>
        <w:spacing w:line="276" w:lineRule="auto"/>
        <w:jc w:val="both"/>
        <w:rPr>
          <w:rFonts w:ascii="Times New Roman" w:hAnsi="Times New Roman" w:cs="Times New Roman"/>
          <w:sz w:val="24"/>
          <w:szCs w:val="24"/>
        </w:rPr>
      </w:pPr>
    </w:p>
    <w:p w:rsidR="00674B2F" w:rsidRPr="000A484F" w:rsidRDefault="00674B2F" w:rsidP="006C748F">
      <w:pPr>
        <w:pStyle w:val="NoSpacing"/>
        <w:spacing w:line="276" w:lineRule="auto"/>
        <w:jc w:val="both"/>
        <w:rPr>
          <w:rFonts w:ascii="Times New Roman" w:hAnsi="Times New Roman" w:cs="Times New Roman"/>
          <w:b/>
          <w:sz w:val="24"/>
          <w:szCs w:val="24"/>
        </w:rPr>
      </w:pPr>
      <w:r w:rsidRPr="000A484F">
        <w:rPr>
          <w:rFonts w:ascii="Times New Roman" w:hAnsi="Times New Roman" w:cs="Times New Roman"/>
          <w:b/>
          <w:sz w:val="24"/>
          <w:szCs w:val="24"/>
        </w:rPr>
        <w:t>SMA Sub-categories.</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5. UCBs should take utmost care about data accuracy and integrity while submitting the information /data on large credit to RBI, failing which penal action as per the provisions of the Banking Regulation Act, 1949 may be taken.</w:t>
      </w:r>
    </w:p>
    <w:p w:rsidR="00674B2F" w:rsidRPr="006C748F" w:rsidRDefault="00674B2F" w:rsidP="006C748F">
      <w:pPr>
        <w:pStyle w:val="Default"/>
        <w:spacing w:line="276" w:lineRule="auto"/>
        <w:jc w:val="both"/>
        <w:rPr>
          <w:rFonts w:ascii="Times New Roman" w:hAnsi="Times New Roman" w:cs="Times New Roman"/>
        </w:rPr>
      </w:pPr>
    </w:p>
    <w:p w:rsidR="00674B2F" w:rsidRPr="000A484F" w:rsidRDefault="00674B2F" w:rsidP="006C748F">
      <w:pPr>
        <w:pStyle w:val="Default"/>
        <w:spacing w:line="276" w:lineRule="auto"/>
        <w:jc w:val="both"/>
        <w:rPr>
          <w:rFonts w:ascii="Times New Roman" w:hAnsi="Times New Roman" w:cs="Times New Roman"/>
          <w:b/>
          <w:color w:val="C00000"/>
        </w:rPr>
      </w:pPr>
      <w:r w:rsidRPr="000A484F">
        <w:rPr>
          <w:rFonts w:ascii="Times New Roman" w:hAnsi="Times New Roman" w:cs="Times New Roman"/>
          <w:b/>
          <w:color w:val="C00000"/>
        </w:rPr>
        <w:t>Notification Dated December 23, 2019</w:t>
      </w:r>
    </w:p>
    <w:p w:rsidR="00674B2F" w:rsidRPr="000A484F" w:rsidRDefault="00674B2F" w:rsidP="006C748F">
      <w:pPr>
        <w:pStyle w:val="Default"/>
        <w:spacing w:line="276" w:lineRule="auto"/>
        <w:jc w:val="both"/>
        <w:rPr>
          <w:rFonts w:ascii="Times New Roman" w:hAnsi="Times New Roman" w:cs="Times New Roman"/>
          <w:color w:val="C00000"/>
        </w:rPr>
      </w:pPr>
      <w:r w:rsidRPr="000A484F">
        <w:rPr>
          <w:rFonts w:ascii="Times New Roman" w:hAnsi="Times New Roman" w:cs="Times New Roman"/>
          <w:b/>
          <w:color w:val="C00000"/>
        </w:rPr>
        <w:t>S</w:t>
      </w:r>
      <w:r w:rsidRPr="000A484F">
        <w:rPr>
          <w:rFonts w:ascii="Times New Roman" w:hAnsi="Times New Roman" w:cs="Times New Roman"/>
          <w:b/>
          <w:bCs/>
          <w:color w:val="C00000"/>
        </w:rPr>
        <w:t xml:space="preserve">etting up of IFSC Banking Units (IBUs) – Permissible activities </w:t>
      </w:r>
    </w:p>
    <w:p w:rsidR="00674B2F" w:rsidRPr="006C748F" w:rsidRDefault="00674B2F" w:rsidP="006C748F">
      <w:pPr>
        <w:pStyle w:val="Default"/>
        <w:spacing w:line="276" w:lineRule="auto"/>
        <w:jc w:val="both"/>
        <w:rPr>
          <w:rFonts w:ascii="Times New Roman" w:hAnsi="Times New Roman" w:cs="Times New Roman"/>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2</w:t>
      </w:r>
      <w:r w:rsidRPr="006C748F">
        <w:rPr>
          <w:rFonts w:ascii="Times New Roman" w:hAnsi="Times New Roman" w:cs="Times New Roman"/>
        </w:rPr>
        <w:t xml:space="preserve">. </w:t>
      </w:r>
      <w:r w:rsidRPr="006C748F">
        <w:rPr>
          <w:rFonts w:ascii="Times New Roman" w:hAnsi="Times New Roman" w:cs="Times New Roman"/>
          <w:i/>
          <w:iCs/>
        </w:rPr>
        <w:t xml:space="preserve">The existing paragraph No.2.6 (iv)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i/>
          <w:iCs/>
        </w:rPr>
        <w:t>“</w:t>
      </w:r>
      <w:r w:rsidRPr="006C748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6C748F">
        <w:rPr>
          <w:rFonts w:ascii="Times New Roman" w:hAnsi="Times New Roman" w:cs="Times New Roman"/>
          <w:i/>
          <w:iCs/>
        </w:rPr>
        <w:t xml:space="preserve">.”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3. </w:t>
      </w:r>
      <w:r w:rsidRPr="006C748F">
        <w:rPr>
          <w:rFonts w:ascii="Times New Roman" w:hAnsi="Times New Roman" w:cs="Times New Roman"/>
          <w:i/>
          <w:iCs/>
        </w:rPr>
        <w:t xml:space="preserve">The existing paragraph No.2.6 (v) of Annex I and II of the aforesaid circular dated April 1, 2015 is amended to read as follows: </w:t>
      </w:r>
    </w:p>
    <w:p w:rsidR="00674B2F" w:rsidRPr="006C748F" w:rsidRDefault="00674B2F" w:rsidP="006C748F">
      <w:pPr>
        <w:pStyle w:val="NoSpacing"/>
        <w:spacing w:line="276" w:lineRule="auto"/>
        <w:jc w:val="both"/>
        <w:rPr>
          <w:rFonts w:ascii="Times New Roman" w:hAnsi="Times New Roman" w:cs="Times New Roman"/>
          <w:sz w:val="24"/>
          <w:szCs w:val="24"/>
        </w:rPr>
      </w:pPr>
      <w:r w:rsidRPr="006C748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6C748F">
        <w:rPr>
          <w:rFonts w:ascii="Times New Roman" w:hAnsi="Times New Roman" w:cs="Times New Roman"/>
          <w:sz w:val="24"/>
          <w:szCs w:val="24"/>
        </w:rPr>
        <w:t>borrowers</w:t>
      </w:r>
      <w:proofErr w:type="gramEnd"/>
      <w:r w:rsidRPr="006C748F">
        <w:rPr>
          <w:rFonts w:ascii="Times New Roman" w:hAnsi="Times New Roman" w:cs="Times New Roman"/>
          <w:sz w:val="24"/>
          <w:szCs w:val="24"/>
        </w:rPr>
        <w:t xml:space="preserve">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4. </w:t>
      </w:r>
      <w:r w:rsidRPr="006C748F">
        <w:rPr>
          <w:rFonts w:ascii="Times New Roman" w:hAnsi="Times New Roman" w:cs="Times New Roman"/>
          <w:i/>
          <w:iCs/>
        </w:rPr>
        <w:t xml:space="preserve">The existing paragraph No.2.6 (x) of Annex I and II of the aforesaid circular dated April 1, 2015 is amended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5. </w:t>
      </w:r>
      <w:r w:rsidRPr="006C748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rPr>
        <w:t xml:space="preserve">“The IBUs will be required to scrupulously follow "Know Your Customer (KYC)", Combating of Financing of Terrorism (CFT) and other anti-money laundering instructions issued by RBI from time to time, </w:t>
      </w:r>
      <w:r w:rsidRPr="006C748F">
        <w:rPr>
          <w:rFonts w:ascii="Times New Roman" w:hAnsi="Times New Roman" w:cs="Times New Roman"/>
          <w:i/>
          <w:iCs/>
        </w:rPr>
        <w:t>including the reporting thereof, as prescribed by the Reserve Bank /other agencies in India</w:t>
      </w:r>
      <w:r w:rsidRPr="006C748F">
        <w:rPr>
          <w:rFonts w:ascii="Times New Roman" w:hAnsi="Times New Roman" w:cs="Times New Roman"/>
        </w:rPr>
        <w:t xml:space="preserve">. IBUs are prohibited from undertaking cash transactions.”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6. </w:t>
      </w:r>
      <w:r w:rsidRPr="006C748F">
        <w:rPr>
          <w:rFonts w:ascii="Times New Roman" w:hAnsi="Times New Roman" w:cs="Times New Roman"/>
        </w:rPr>
        <w:t xml:space="preserve">All other terms and conditions contained in the aforementioned circular remain unchanged. </w:t>
      </w:r>
    </w:p>
    <w:p w:rsidR="00674B2F" w:rsidRPr="006C748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6C748F">
        <w:rPr>
          <w:rFonts w:ascii="Times New Roman" w:hAnsi="Times New Roman" w:cs="Times New Roman"/>
          <w:b/>
          <w:bCs/>
        </w:rPr>
        <w:t xml:space="preserve">7. </w:t>
      </w:r>
      <w:r w:rsidRPr="006C748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4315DF"/>
    <w:rsid w:val="0044166F"/>
    <w:rsid w:val="004958B1"/>
    <w:rsid w:val="004D74DC"/>
    <w:rsid w:val="00527838"/>
    <w:rsid w:val="0054452D"/>
    <w:rsid w:val="005667A0"/>
    <w:rsid w:val="00577916"/>
    <w:rsid w:val="00586895"/>
    <w:rsid w:val="006337CC"/>
    <w:rsid w:val="00654296"/>
    <w:rsid w:val="00674B2F"/>
    <w:rsid w:val="006C748F"/>
    <w:rsid w:val="006E7250"/>
    <w:rsid w:val="00734259"/>
    <w:rsid w:val="0073435D"/>
    <w:rsid w:val="00783BAF"/>
    <w:rsid w:val="00797A04"/>
    <w:rsid w:val="008341A3"/>
    <w:rsid w:val="00836383"/>
    <w:rsid w:val="008E3A4F"/>
    <w:rsid w:val="008F12FB"/>
    <w:rsid w:val="00902131"/>
    <w:rsid w:val="0092337F"/>
    <w:rsid w:val="0095144F"/>
    <w:rsid w:val="00961419"/>
    <w:rsid w:val="00984001"/>
    <w:rsid w:val="009B3101"/>
    <w:rsid w:val="009C5C0A"/>
    <w:rsid w:val="009E7B13"/>
    <w:rsid w:val="00A21D08"/>
    <w:rsid w:val="00A450A2"/>
    <w:rsid w:val="00A539DF"/>
    <w:rsid w:val="00B00D7E"/>
    <w:rsid w:val="00B22D9B"/>
    <w:rsid w:val="00B90664"/>
    <w:rsid w:val="00BD4689"/>
    <w:rsid w:val="00C36585"/>
    <w:rsid w:val="00C81FE2"/>
    <w:rsid w:val="00CB4375"/>
    <w:rsid w:val="00D54010"/>
    <w:rsid w:val="00DC014B"/>
    <w:rsid w:val="00DD4733"/>
    <w:rsid w:val="00E01557"/>
    <w:rsid w:val="00E82B91"/>
    <w:rsid w:val="00EF3E36"/>
    <w:rsid w:val="00F14F8D"/>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BC09"/>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NotificationUser.aspx?Id=11719&amp;Mod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D23E-6158-4F6F-A2BB-77B1C06E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4</cp:revision>
  <cp:lastPrinted>2020-03-05T07:47:00Z</cp:lastPrinted>
  <dcterms:created xsi:type="dcterms:W3CDTF">2020-03-20T06:20:00Z</dcterms:created>
  <dcterms:modified xsi:type="dcterms:W3CDTF">2020-03-20T07:09:00Z</dcterms:modified>
</cp:coreProperties>
</file>