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D6" w:rsidRPr="00E917D6" w:rsidRDefault="00E917D6" w:rsidP="00E917D6">
      <w:pPr>
        <w:pStyle w:val="NormalWeb"/>
        <w:shd w:val="clear" w:color="auto" w:fill="FFFFFF"/>
        <w:spacing w:before="0" w:beforeAutospacing="0" w:after="0" w:afterAutospacing="0"/>
        <w:jc w:val="center"/>
        <w:rPr>
          <w:b/>
          <w:bCs/>
          <w:color w:val="000000"/>
          <w:sz w:val="36"/>
          <w:u w:val="single"/>
        </w:rPr>
      </w:pPr>
      <w:r w:rsidRPr="00E917D6">
        <w:rPr>
          <w:b/>
          <w:bCs/>
          <w:color w:val="000000"/>
          <w:sz w:val="36"/>
          <w:u w:val="single"/>
        </w:rPr>
        <w:t>DTRIM_ RBI Notifications Jan to June 2021</w:t>
      </w:r>
    </w:p>
    <w:p w:rsidR="00E917D6" w:rsidRDefault="00E917D6" w:rsidP="002E2BDE">
      <w:pPr>
        <w:pStyle w:val="NormalWeb"/>
        <w:shd w:val="clear" w:color="auto" w:fill="FFFFFF"/>
        <w:spacing w:before="0" w:beforeAutospacing="0" w:after="0" w:afterAutospacing="0"/>
        <w:jc w:val="both"/>
        <w:rPr>
          <w:b/>
          <w:bCs/>
          <w:color w:val="000000"/>
        </w:rPr>
      </w:pPr>
    </w:p>
    <w:p w:rsidR="002E2BDE" w:rsidRPr="00BE0E8C" w:rsidRDefault="002E2BDE" w:rsidP="002E2BDE">
      <w:pPr>
        <w:pStyle w:val="NormalWeb"/>
        <w:shd w:val="clear" w:color="auto" w:fill="FFFFFF"/>
        <w:spacing w:before="0" w:beforeAutospacing="0" w:after="0" w:afterAutospacing="0"/>
        <w:jc w:val="both"/>
        <w:rPr>
          <w:b/>
          <w:bCs/>
          <w:color w:val="000000"/>
        </w:rPr>
      </w:pPr>
      <w:r w:rsidRPr="00BE0E8C">
        <w:rPr>
          <w:b/>
          <w:bCs/>
          <w:color w:val="000000"/>
        </w:rPr>
        <w:t>Master Direction - Reserve Bank of India (Call, Notice and Term Money Markets) Directions, 2021</w:t>
      </w:r>
    </w:p>
    <w:p w:rsidR="002E2BDE" w:rsidRPr="00BE0E8C" w:rsidRDefault="002E2BDE" w:rsidP="002E2BDE">
      <w:pPr>
        <w:pStyle w:val="NormalWeb"/>
        <w:shd w:val="clear" w:color="auto" w:fill="FFFFFF"/>
        <w:spacing w:before="0" w:beforeAutospacing="0" w:after="0" w:afterAutospacing="0"/>
        <w:jc w:val="both"/>
        <w:rPr>
          <w:b/>
          <w:bCs/>
          <w:color w:val="000000"/>
        </w:rPr>
      </w:pPr>
    </w:p>
    <w:p w:rsidR="002E2BDE" w:rsidRPr="00BE0E8C" w:rsidRDefault="002E2BDE" w:rsidP="002E2BDE">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2E2BDE" w:rsidRPr="00BE0E8C" w:rsidRDefault="002E2BDE" w:rsidP="002E2BDE">
      <w:pPr>
        <w:pStyle w:val="NormalWeb"/>
        <w:shd w:val="clear" w:color="auto" w:fill="FFFFFF"/>
        <w:spacing w:before="0" w:beforeAutospacing="0" w:after="0" w:afterAutospacing="0"/>
        <w:jc w:val="both"/>
        <w:rPr>
          <w:i/>
          <w:color w:val="000000"/>
          <w:shd w:val="clear" w:color="auto" w:fill="FFFFFF"/>
        </w:rPr>
      </w:pPr>
    </w:p>
    <w:p w:rsidR="002E2BDE" w:rsidRPr="00BE0E8C" w:rsidRDefault="002E2BDE" w:rsidP="002E2BDE">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p>
    <w:p w:rsidR="002E2BDE" w:rsidRPr="00BE0E8C" w:rsidRDefault="002E2BDE" w:rsidP="002E2BDE">
      <w:pPr>
        <w:pStyle w:val="NormalWeb"/>
        <w:shd w:val="clear" w:color="auto" w:fill="FFFFFF"/>
        <w:spacing w:before="0" w:beforeAutospacing="0" w:after="0" w:afterAutospacing="0"/>
        <w:jc w:val="both"/>
        <w:rPr>
          <w:color w:val="000000"/>
        </w:rPr>
      </w:pPr>
      <w:bookmarkStart w:id="0" w:name="_GoBack"/>
      <w:bookmarkEnd w:id="0"/>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5" w:tgtFrame="_blank" w:history="1">
        <w:r w:rsidRPr="00BE0E8C">
          <w:rPr>
            <w:rStyle w:val="Hyperlink"/>
            <w:u w:val="none"/>
          </w:rPr>
          <w:t>Statement on Developmental and Regulatory Policies, Reserve Bank of India</w:t>
        </w:r>
      </w:hyperlink>
      <w:r w:rsidRPr="00BE0E8C">
        <w:rPr>
          <w:color w:val="000000"/>
        </w:rPr>
        <w:t>, issued as part of the </w:t>
      </w:r>
      <w:hyperlink r:id="rId6" w:tgtFrame="_blank" w:history="1">
        <w:r w:rsidRPr="00BE0E8C">
          <w:rPr>
            <w:rStyle w:val="Hyperlink"/>
            <w:u w:val="none"/>
          </w:rPr>
          <w:t>second Bi-monthly Monetary Policy Statement for 2019-20 dated June 06, 2019</w:t>
        </w:r>
      </w:hyperlink>
      <w:r w:rsidRPr="00BE0E8C">
        <w:rPr>
          <w:color w:val="000000"/>
        </w:rPr>
        <w:t> regarding Comprehensive Review of Money Market Directions.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7" w:anchor="ANN" w:history="1">
        <w:r w:rsidRPr="00BE0E8C">
          <w:rPr>
            <w:rStyle w:val="Hyperlink"/>
            <w:u w:val="none"/>
          </w:rPr>
          <w:t>Directions</w:t>
        </w:r>
      </w:hyperlink>
      <w:r w:rsidRPr="00BE0E8C">
        <w:rPr>
          <w:color w:val="000000"/>
        </w:rPr>
        <w:t> are enclosed herewith.</w:t>
      </w:r>
    </w:p>
    <w:p w:rsidR="002E2BDE" w:rsidRPr="00BE0E8C"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8" w:tgtFrame="_blank" w:history="1">
        <w:r w:rsidRPr="00BE0E8C">
          <w:rPr>
            <w:rStyle w:val="Hyperlink"/>
            <w:u w:val="none"/>
          </w:rPr>
          <w:t>FMRD Master Direction No. 2/2016-17 dated July 07, 2016</w:t>
        </w:r>
      </w:hyperlink>
      <w:r w:rsidRPr="00BE0E8C">
        <w:rPr>
          <w:color w:val="000000"/>
        </w:rPr>
        <w:t>, Direction No. </w:t>
      </w:r>
      <w:hyperlink r:id="rId9" w:tgtFrame="_blank" w:history="1">
        <w:r w:rsidRPr="00BE0E8C">
          <w:rPr>
            <w:rStyle w:val="Hyperlink"/>
            <w:u w:val="none"/>
          </w:rPr>
          <w:t>FMRD.DIRD.09/14.01.001/2018-19 dated October 29, 2018</w:t>
        </w:r>
      </w:hyperlink>
      <w:r w:rsidRPr="00BE0E8C">
        <w:rPr>
          <w:color w:val="000000"/>
        </w:rPr>
        <w:t> and Direction No. </w:t>
      </w:r>
      <w:hyperlink r:id="rId10" w:tgtFrame="_blank" w:history="1">
        <w:r w:rsidRPr="00BE0E8C">
          <w:rPr>
            <w:rStyle w:val="Hyperlink"/>
            <w:u w:val="none"/>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2E2BDE" w:rsidRPr="00BE0E8C" w:rsidRDefault="002E2BDE" w:rsidP="002E2BDE">
      <w:pPr>
        <w:pStyle w:val="head"/>
        <w:shd w:val="clear" w:color="auto" w:fill="FFFFFF"/>
        <w:spacing w:before="0" w:beforeAutospacing="0" w:after="0" w:afterAutospacing="0"/>
        <w:jc w:val="both"/>
        <w:rPr>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2E2BDE" w:rsidRPr="00BE0E8C" w:rsidRDefault="002E2BDE" w:rsidP="002E2BDE">
      <w:pPr>
        <w:pStyle w:val="head"/>
        <w:shd w:val="clear" w:color="auto" w:fill="FFFFFF"/>
        <w:spacing w:before="0" w:beforeAutospacing="0" w:after="0" w:afterAutospacing="0"/>
        <w:jc w:val="both"/>
        <w:rPr>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2. Definitions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BE0E8C">
        <w:rPr>
          <w:color w:val="000000"/>
        </w:rPr>
        <w:t>ja</w:t>
      </w:r>
      <w:proofErr w:type="spellEnd"/>
      <w:r w:rsidRPr="00BE0E8C">
        <w:rPr>
          <w:color w:val="000000"/>
        </w:rPr>
        <w:t>), (da) and (</w:t>
      </w:r>
      <w:proofErr w:type="spellStart"/>
      <w:r w:rsidRPr="00BE0E8C">
        <w:rPr>
          <w:color w:val="000000"/>
        </w:rPr>
        <w:t>nc</w:t>
      </w:r>
      <w:proofErr w:type="spellEnd"/>
      <w:r w:rsidRPr="00BE0E8C">
        <w:rPr>
          <w:color w:val="000000"/>
        </w:rPr>
        <w:t>), of section 5 respectively thereof, or a “cooperative bank” as defined in clause (cci) of section 5 read with section 56 of the said Act;</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“Electronic Trading Platform” or “ETP”</w:t>
      </w:r>
      <w:r w:rsidRPr="00BE0E8C">
        <w:rPr>
          <w:color w:val="000000"/>
        </w:rPr>
        <w:t> shall have the meaning assigned in paragraph 2 (1) (iii) of </w:t>
      </w:r>
      <w:hyperlink r:id="rId11" w:tgtFrame="_blank" w:history="1">
        <w:r w:rsidRPr="00BE0E8C">
          <w:rPr>
            <w:rStyle w:val="Hyperlink"/>
            <w:u w:val="none"/>
          </w:rPr>
          <w:t>the Electronic Trading Platform (Reserve Bank) Directions, 2018 dated October 05, 2018</w:t>
        </w:r>
      </w:hyperlink>
      <w:r w:rsidRPr="00BE0E8C">
        <w:rPr>
          <w:color w:val="000000"/>
        </w:rPr>
        <w:t>, as modified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lastRenderedPageBreak/>
        <w:t>“Negotiated Dealing System-CALL” or “NDS-CALL”</w:t>
      </w:r>
      <w:r w:rsidRPr="00BE0E8C">
        <w:rPr>
          <w:color w:val="000000"/>
        </w:rPr>
        <w:t> is the electronic trading platform for execution and reporting of transactions in Call, Notice and Term Money Markets;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12" w:tgtFrame="_blank" w:history="1">
        <w:r w:rsidRPr="00BE0E8C">
          <w:rPr>
            <w:rStyle w:val="Hyperlink"/>
            <w:u w:val="none"/>
          </w:rPr>
          <w:t>Guidelines for Licensing of Payments Banks” dated November 27, 2014</w:t>
        </w:r>
      </w:hyperlink>
      <w:r w:rsidRPr="00BE0E8C">
        <w:rPr>
          <w:color w:val="000000"/>
        </w:rPr>
        <w:t>, as amended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13" w:tgtFrame="_blank" w:history="1">
        <w:r w:rsidRPr="00BE0E8C">
          <w:rPr>
            <w:rStyle w:val="Hyperlink"/>
            <w:u w:val="none"/>
          </w:rPr>
          <w:t>Guidelines for Licensing of Small Finance Banks” dated November 27, 2014</w:t>
        </w:r>
      </w:hyperlink>
      <w:r w:rsidRPr="00BE0E8C">
        <w:rPr>
          <w:color w:val="000000"/>
        </w:rPr>
        <w:t>, as amended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2E2BDE"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3. Participants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Payment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Small Finance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Regional Rural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Primary Dealers.</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4. Prudential limits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14" w:anchor="T1" w:history="1">
        <w:r w:rsidRPr="00BE0E8C">
          <w:rPr>
            <w:rStyle w:val="Hyperlink"/>
            <w:u w:val="none"/>
          </w:rPr>
          <w:t>Table 1</w:t>
        </w:r>
      </w:hyperlink>
      <w:r w:rsidRPr="00BE0E8C">
        <w:rPr>
          <w:color w:val="000000"/>
        </w:rPr>
        <w:t>.</w:t>
      </w:r>
    </w:p>
    <w:p w:rsidR="002E2BDE" w:rsidRPr="00BE0E8C" w:rsidRDefault="002E2BDE" w:rsidP="002E2BDE">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
        <w:gridCol w:w="3219"/>
        <w:gridCol w:w="3909"/>
      </w:tblGrid>
      <w:tr w:rsidR="002E2BDE" w:rsidRPr="00BE0E8C" w:rsidTr="00C20495">
        <w:trPr>
          <w:jc w:val="center"/>
        </w:trPr>
        <w:tc>
          <w:tcPr>
            <w:tcW w:w="0" w:type="auto"/>
            <w:gridSpan w:val="3"/>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2E2BDE" w:rsidRPr="00BE0E8C" w:rsidTr="00C20495">
        <w:trPr>
          <w:jc w:val="center"/>
        </w:trPr>
        <w:tc>
          <w:tcPr>
            <w:tcW w:w="350" w:type="pct"/>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2E2BDE" w:rsidRPr="00BE0E8C" w:rsidTr="00C20495">
        <w:trPr>
          <w:jc w:val="center"/>
        </w:trPr>
        <w:tc>
          <w:tcPr>
            <w:tcW w:w="0" w:type="auto"/>
            <w:tcMar>
              <w:top w:w="0" w:type="dxa"/>
              <w:left w:w="45" w:type="dxa"/>
              <w:bottom w:w="0" w:type="dxa"/>
              <w:right w:w="45" w:type="dxa"/>
            </w:tcMa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1.</w:t>
            </w:r>
          </w:p>
        </w:tc>
        <w:tc>
          <w:tcPr>
            <w:tcW w:w="0" w:type="auto"/>
            <w:tcMar>
              <w:top w:w="0" w:type="dxa"/>
              <w:left w:w="45" w:type="dxa"/>
              <w:bottom w:w="0" w:type="dxa"/>
              <w:right w:w="45" w:type="dxa"/>
            </w:tcMar>
            <w:hideMark/>
          </w:tcPr>
          <w:p w:rsidR="002E2BDE" w:rsidRPr="00BE0E8C" w:rsidRDefault="002E2BD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2E2BDE" w:rsidRPr="00BE0E8C" w:rsidRDefault="002E2BDE" w:rsidP="00C20495">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2E2BDE" w:rsidRPr="00BE0E8C" w:rsidRDefault="002E2BDE" w:rsidP="00C20495">
            <w:pPr>
              <w:pStyle w:val="NormalWeb"/>
              <w:spacing w:before="0" w:beforeAutospacing="0" w:after="0" w:afterAutospacing="0"/>
              <w:jc w:val="both"/>
              <w:rPr>
                <w:color w:val="000000"/>
              </w:rPr>
            </w:pPr>
            <w:r w:rsidRPr="00BE0E8C">
              <w:rPr>
                <w:color w:val="000000"/>
              </w:rPr>
              <w:t>(ii) 125% of capital funds on any given day.</w:t>
            </w:r>
          </w:p>
        </w:tc>
      </w:tr>
      <w:tr w:rsidR="002E2BDE" w:rsidRPr="00BE0E8C" w:rsidTr="00C20495">
        <w:trPr>
          <w:jc w:val="center"/>
        </w:trPr>
        <w:tc>
          <w:tcPr>
            <w:tcW w:w="0" w:type="auto"/>
            <w:tcMar>
              <w:top w:w="0" w:type="dxa"/>
              <w:left w:w="45" w:type="dxa"/>
              <w:bottom w:w="0" w:type="dxa"/>
              <w:right w:w="45" w:type="dxa"/>
            </w:tcMa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2E2BDE" w:rsidRPr="00BE0E8C" w:rsidRDefault="002E2BD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2E2BDE" w:rsidRPr="00BE0E8C" w:rsidRDefault="002E2BDE" w:rsidP="00C20495">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2E2BDE" w:rsidRPr="00BE0E8C" w:rsidTr="00C20495">
        <w:trPr>
          <w:jc w:val="center"/>
        </w:trPr>
        <w:tc>
          <w:tcPr>
            <w:tcW w:w="0" w:type="auto"/>
            <w:tcMar>
              <w:top w:w="0" w:type="dxa"/>
              <w:left w:w="45" w:type="dxa"/>
              <w:bottom w:w="0" w:type="dxa"/>
              <w:right w:w="45" w:type="dxa"/>
            </w:tcMa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2E2BDE" w:rsidRPr="00BE0E8C" w:rsidRDefault="002E2BD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2E2BDE" w:rsidRPr="00BE0E8C" w:rsidRDefault="002E2BDE" w:rsidP="00C20495">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xml:space="preserve">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for setting of limits in the NDS-CALL platform, under advice to the Financial Markets Regulation Department (FMRD) of the Reserve Bank through </w:t>
      </w:r>
      <w:hyperlink r:id="rId15" w:tgtFrame="_blank" w:history="1">
        <w:r w:rsidRPr="00BE0E8C">
          <w:rPr>
            <w:rStyle w:val="Hyperlink"/>
            <w:u w:val="none"/>
          </w:rPr>
          <w:t>e-mail</w:t>
        </w:r>
      </w:hyperlink>
      <w:r w:rsidRPr="00BE0E8C">
        <w:rPr>
          <w:color w:val="000000"/>
        </w:rPr>
        <w:t>.</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5. General guidelines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Call, Notice or Term Money transactions, other than those executed on NDS-CALL platform, shall be reported to the NDS-CALL platform within 15 minutes of execution (the time when interest rate is agreed), by both counterparties to the transaction or by the Electronic 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lastRenderedPageBreak/>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xml:space="preserve"> Any misreporting or multiple reporting of the same OTC markets deal by a counterparty shall be immediately brought to the notice of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and also to the Financial Markets Regulation Department, Reserve Bank of India, Central Office, Fort, Mumbai, through </w:t>
      </w:r>
      <w:hyperlink r:id="rId16" w:history="1">
        <w:r w:rsidRPr="00BE0E8C">
          <w:rPr>
            <w:rStyle w:val="Hyperlink"/>
            <w:u w:val="none"/>
          </w:rPr>
          <w:t>email</w:t>
        </w:r>
      </w:hyperlink>
      <w:r w:rsidRPr="00BE0E8C">
        <w:rPr>
          <w:color w:val="000000"/>
        </w:rPr>
        <w:t>.</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17" w:tgtFrame="_blank" w:history="1">
        <w:r w:rsidRPr="00BE0E8C">
          <w:rPr>
            <w:rStyle w:val="Hyperlink"/>
            <w:u w:val="none"/>
          </w:rPr>
          <w:t>FMRD Master Direction No. 2/2016-17 dated July 07, 2016</w:t>
        </w:r>
      </w:hyperlink>
      <w:r w:rsidRPr="00BE0E8C">
        <w:rPr>
          <w:color w:val="000000"/>
        </w:rPr>
        <w:t>; Direction No. </w:t>
      </w:r>
      <w:hyperlink r:id="rId18" w:tgtFrame="_blank" w:history="1">
        <w:r w:rsidRPr="00BE0E8C">
          <w:rPr>
            <w:rStyle w:val="Hyperlink"/>
            <w:u w:val="none"/>
          </w:rPr>
          <w:t>FMRD.DIRD.09/14.01.001/2018-19 dated October 29, 2018</w:t>
        </w:r>
      </w:hyperlink>
      <w:r w:rsidRPr="00BE0E8C">
        <w:rPr>
          <w:color w:val="000000"/>
        </w:rPr>
        <w:t> and Direction No. </w:t>
      </w:r>
      <w:hyperlink r:id="rId19" w:tgtFrame="_blank" w:history="1">
        <w:r w:rsidRPr="00BE0E8C">
          <w:rPr>
            <w:rStyle w:val="Hyperlink"/>
            <w:u w:val="none"/>
          </w:rPr>
          <w:t>FMRD.DIRD.01/14.01.001/2020-21 dated December 04, 2020</w:t>
        </w:r>
      </w:hyperlink>
      <w:r w:rsidRPr="00BE0E8C">
        <w:rPr>
          <w:color w:val="000000"/>
        </w:rPr>
        <w:t>, shall continue to be applicable to transactions undertaken in accordance with the said Directions till the expiry of those contracts.</w:t>
      </w:r>
    </w:p>
    <w:p w:rsidR="002E2BDE" w:rsidRDefault="002E2BDE" w:rsidP="002E2BDE">
      <w:pPr>
        <w:pStyle w:val="NormalWeb"/>
        <w:pBdr>
          <w:bottom w:val="single" w:sz="12" w:space="1" w:color="auto"/>
        </w:pBdr>
        <w:shd w:val="clear" w:color="auto" w:fill="FFFFFF"/>
        <w:spacing w:before="0" w:beforeAutospacing="0" w:after="0" w:afterAutospacing="0"/>
        <w:jc w:val="both"/>
      </w:pPr>
    </w:p>
    <w:p w:rsidR="002E2BDE" w:rsidRPr="00BE0E8C" w:rsidRDefault="00E917D6" w:rsidP="002E2BDE">
      <w:pPr>
        <w:pStyle w:val="NormalWeb"/>
        <w:pBdr>
          <w:bottom w:val="single" w:sz="12" w:space="1" w:color="auto"/>
        </w:pBdr>
        <w:shd w:val="clear" w:color="auto" w:fill="FFFFFF"/>
        <w:spacing w:before="0" w:beforeAutospacing="0" w:after="0" w:afterAutospacing="0"/>
        <w:jc w:val="both"/>
        <w:rPr>
          <w:color w:val="000000"/>
        </w:rPr>
      </w:pPr>
      <w:hyperlink r:id="rId20" w:history="1">
        <w:r w:rsidR="002E2BDE" w:rsidRPr="00BE0E8C">
          <w:rPr>
            <w:rStyle w:val="Hyperlink"/>
          </w:rPr>
          <w:t>https://www.rbi.org.in/Scripts/NotificationUser.aspx?Id=12061&amp;Mode=0</w:t>
        </w:r>
      </w:hyperlink>
    </w:p>
    <w:p w:rsidR="00AC2BF8" w:rsidRDefault="00E917D6"/>
    <w:p w:rsidR="002E2BDE" w:rsidRPr="00C760EA" w:rsidRDefault="002E2BDE" w:rsidP="002E2BDE">
      <w:pPr>
        <w:pStyle w:val="NormalWeb"/>
        <w:shd w:val="clear" w:color="auto" w:fill="FFFFFF"/>
        <w:spacing w:before="0" w:beforeAutospacing="0" w:after="0" w:afterAutospacing="0"/>
        <w:jc w:val="both"/>
        <w:rPr>
          <w:b/>
          <w:bCs/>
          <w:color w:val="000000"/>
        </w:rPr>
      </w:pPr>
      <w:r w:rsidRPr="00C760EA">
        <w:rPr>
          <w:b/>
          <w:bCs/>
          <w:color w:val="000000"/>
        </w:rPr>
        <w:t>Reserve Bank of India (Call, Notice and Term Money Markets) Directions, 2021</w:t>
      </w:r>
    </w:p>
    <w:p w:rsidR="002E2BDE" w:rsidRDefault="002E2BDE" w:rsidP="002E2BDE">
      <w:pPr>
        <w:pStyle w:val="NormalWeb"/>
        <w:shd w:val="clear" w:color="auto" w:fill="FFFFFF"/>
        <w:spacing w:before="0" w:beforeAutospacing="0" w:after="0" w:afterAutospacing="0"/>
        <w:jc w:val="both"/>
        <w:rPr>
          <w:color w:val="000000"/>
        </w:rPr>
      </w:pPr>
    </w:p>
    <w:p w:rsidR="002E2BDE" w:rsidRPr="00544DBA" w:rsidRDefault="002E2BDE" w:rsidP="002E2BDE">
      <w:pPr>
        <w:pStyle w:val="NormalWeb"/>
        <w:shd w:val="clear" w:color="auto" w:fill="FFFFFF"/>
        <w:spacing w:before="0" w:beforeAutospacing="0" w:after="0" w:afterAutospacing="0"/>
        <w:jc w:val="both"/>
        <w:rPr>
          <w:b/>
          <w:color w:val="000000"/>
        </w:rPr>
      </w:pPr>
      <w:r w:rsidRPr="00544DBA">
        <w:rPr>
          <w:b/>
          <w:color w:val="000000"/>
        </w:rPr>
        <w:t xml:space="preserve">RBI/2021-22/61FMRD.DIRD.06/14.01.001/2021-22 </w:t>
      </w:r>
      <w:r w:rsidRPr="00544DBA">
        <w:rPr>
          <w:b/>
          <w:color w:val="000000"/>
        </w:rPr>
        <w:tab/>
      </w:r>
      <w:r w:rsidRPr="00544DBA">
        <w:rPr>
          <w:b/>
          <w:color w:val="000000"/>
        </w:rPr>
        <w:tab/>
        <w:t>June 25, 2021</w:t>
      </w:r>
    </w:p>
    <w:p w:rsidR="002E2BDE" w:rsidRPr="00544DBA" w:rsidRDefault="002E2BDE" w:rsidP="002E2BDE">
      <w:pPr>
        <w:pStyle w:val="NormalWeb"/>
        <w:shd w:val="clear" w:color="auto" w:fill="FFFFFF"/>
        <w:spacing w:before="0" w:beforeAutospacing="0" w:after="0" w:afterAutospacing="0"/>
        <w:jc w:val="both"/>
        <w:rPr>
          <w:b/>
          <w:color w:val="000000"/>
        </w:rPr>
      </w:pPr>
    </w:p>
    <w:p w:rsidR="002E2BDE" w:rsidRPr="00544DBA" w:rsidRDefault="002E2BDE" w:rsidP="002E2BDE">
      <w:pPr>
        <w:pStyle w:val="NormalWeb"/>
        <w:shd w:val="clear" w:color="auto" w:fill="FFFFFF"/>
        <w:spacing w:before="0" w:beforeAutospacing="0" w:after="0" w:afterAutospacing="0"/>
        <w:jc w:val="both"/>
        <w:rPr>
          <w:i/>
          <w:color w:val="000000"/>
        </w:rPr>
      </w:pPr>
      <w:r w:rsidRPr="00544DBA">
        <w:rPr>
          <w:i/>
          <w:color w:val="000000"/>
        </w:rPr>
        <w:t>All Eligible Market Participants</w:t>
      </w:r>
    </w:p>
    <w:p w:rsidR="002E2BDE" w:rsidRPr="00544DBA" w:rsidRDefault="002E2BDE" w:rsidP="002E2BDE">
      <w:pPr>
        <w:pStyle w:val="NormalWeb"/>
        <w:shd w:val="clear" w:color="auto" w:fill="FFFFFF"/>
        <w:spacing w:before="0" w:beforeAutospacing="0" w:after="0" w:afterAutospacing="0"/>
        <w:jc w:val="both"/>
        <w:rPr>
          <w:i/>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Please refer to the Master Direction – Reserve Bank of India (Call, Notice and Term Money Markets) Directions, 2021 dated April 01, 2021 (hereinafter referred as ‘Master Directions’).</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Default="002E2BDE" w:rsidP="002E2BDE">
      <w:pPr>
        <w:pStyle w:val="NormalWeb"/>
        <w:shd w:val="clear" w:color="auto" w:fill="FFFFFF"/>
        <w:spacing w:before="0" w:beforeAutospacing="0" w:after="0" w:afterAutospacing="0"/>
        <w:jc w:val="both"/>
        <w:rPr>
          <w:color w:val="000000"/>
        </w:rPr>
      </w:pPr>
      <w:r w:rsidRPr="00C760EA">
        <w:rPr>
          <w:color w:val="000000"/>
        </w:rPr>
        <w:t>2. On a review based on representations received, the prudential borrowing limits for transactions in Call, Notice and Term Money Markets have been revised. Accordingly, in Part 4 (b) of the Master Directions, Table 1 is being revised as under:</w:t>
      </w:r>
    </w:p>
    <w:p w:rsidR="002E2BDE" w:rsidRPr="00544DBA" w:rsidRDefault="002E2BDE" w:rsidP="002E2BDE">
      <w:pPr>
        <w:spacing w:after="0" w:line="240" w:lineRule="auto"/>
        <w:rPr>
          <w:rFonts w:ascii="Times New Roman" w:eastAsia="Times New Roman" w:hAnsi="Times New Roman" w:cs="Times New Roman"/>
          <w:sz w:val="24"/>
          <w:szCs w:val="24"/>
          <w:lang w:eastAsia="en-I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2678"/>
        <w:gridCol w:w="4950"/>
      </w:tblGrid>
      <w:tr w:rsidR="002E2BDE" w:rsidRPr="00544DBA" w:rsidTr="00C20495">
        <w:tc>
          <w:tcPr>
            <w:tcW w:w="0" w:type="auto"/>
            <w:gridSpan w:val="3"/>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Table 1: Prudential limits for outstanding borrowing transactions in Call, Notice and Term Money Markets</w:t>
            </w:r>
          </w:p>
        </w:tc>
      </w:tr>
      <w:tr w:rsidR="002E2BDE" w:rsidRPr="00544DBA" w:rsidTr="00C20495">
        <w:tc>
          <w:tcPr>
            <w:tcW w:w="300" w:type="pct"/>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lastRenderedPageBreak/>
              <w:t>Sr. No.</w:t>
            </w:r>
          </w:p>
        </w:tc>
        <w:tc>
          <w:tcPr>
            <w:tcW w:w="1650" w:type="pct"/>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Participant Category</w:t>
            </w:r>
          </w:p>
        </w:tc>
        <w:tc>
          <w:tcPr>
            <w:tcW w:w="3050" w:type="pct"/>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Prudential Limit</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1</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Scheduled Commercial Banks (including Small Finance Banks)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Internal board approved limit within the prudential limits for inter-bank liabilities.</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2</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Payment Banks and Regional Rural Banks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b/>
                <w:bCs/>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3</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Co-operative Banks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2.0% of aggregate deposits as at the end of the previous financial year.</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4</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Primary Dealers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 on a daily average basis in a reporting fortnight.</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w:t>
            </w:r>
          </w:p>
        </w:tc>
      </w:tr>
    </w:tbl>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These Directions have been issued by RBI in exercise of the powers conferred under section 45W of the Reserve Bank of India Act, 1934 and of all the powers enabling it in this behalf.</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Default="002E2BDE" w:rsidP="002E2BDE">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These changes shall be applicable with immediate effect.</w:t>
      </w:r>
    </w:p>
    <w:p w:rsidR="002E2BDE" w:rsidRPr="00C760EA" w:rsidRDefault="002E2BDE" w:rsidP="002E2BDE">
      <w:pPr>
        <w:pStyle w:val="NormalWeb"/>
        <w:pBdr>
          <w:bottom w:val="single" w:sz="12" w:space="1" w:color="auto"/>
        </w:pBdr>
        <w:shd w:val="clear" w:color="auto" w:fill="FFFFFF"/>
        <w:spacing w:before="0" w:beforeAutospacing="0" w:after="0" w:afterAutospacing="0"/>
        <w:jc w:val="both"/>
        <w:rPr>
          <w:color w:val="000000"/>
        </w:rPr>
      </w:pPr>
    </w:p>
    <w:p w:rsidR="002E2BDE" w:rsidRDefault="00E917D6" w:rsidP="002E2BDE">
      <w:pPr>
        <w:pStyle w:val="NormalWeb"/>
        <w:pBdr>
          <w:bottom w:val="single" w:sz="12" w:space="1" w:color="auto"/>
        </w:pBdr>
        <w:shd w:val="clear" w:color="auto" w:fill="FFFFFF"/>
        <w:spacing w:before="0" w:beforeAutospacing="0" w:after="0" w:afterAutospacing="0"/>
        <w:jc w:val="both"/>
        <w:rPr>
          <w:color w:val="000000"/>
        </w:rPr>
      </w:pPr>
      <w:hyperlink r:id="rId21" w:history="1">
        <w:r w:rsidR="002E2BDE" w:rsidRPr="00C760EA">
          <w:rPr>
            <w:rStyle w:val="Hyperlink"/>
          </w:rPr>
          <w:t>https://www.rbi.org.in/Scripts/NotificationUser.aspx?Id=12120&amp;Mode=0</w:t>
        </w:r>
      </w:hyperlink>
      <w:r w:rsidR="002E2BDE" w:rsidRPr="00C760EA">
        <w:rPr>
          <w:color w:val="000000"/>
        </w:rPr>
        <w:t xml:space="preserve"> </w:t>
      </w:r>
    </w:p>
    <w:p w:rsidR="002E2BDE" w:rsidRDefault="002E2BDE"/>
    <w:p w:rsidR="002E2BDE" w:rsidRDefault="002E2BDE"/>
    <w:p w:rsidR="002E2BDE" w:rsidRPr="00C760EA" w:rsidRDefault="002E2BDE" w:rsidP="002E2BDE">
      <w:pPr>
        <w:pStyle w:val="NormalWeb"/>
        <w:shd w:val="clear" w:color="auto" w:fill="FFFFFF"/>
        <w:spacing w:before="0" w:beforeAutospacing="0" w:after="0" w:afterAutospacing="0"/>
        <w:jc w:val="both"/>
        <w:rPr>
          <w:b/>
          <w:bCs/>
          <w:color w:val="000000"/>
        </w:rPr>
      </w:pPr>
      <w:r w:rsidRPr="00C760EA">
        <w:rPr>
          <w:b/>
          <w:bCs/>
          <w:color w:val="000000"/>
        </w:rPr>
        <w:t>Investment in Entities from FATF Non-</w:t>
      </w:r>
      <w:proofErr w:type="gramStart"/>
      <w:r w:rsidRPr="00C760EA">
        <w:rPr>
          <w:b/>
          <w:bCs/>
          <w:color w:val="000000"/>
        </w:rPr>
        <w:t>compliant</w:t>
      </w:r>
      <w:proofErr w:type="gramEnd"/>
      <w:r w:rsidRPr="00C760EA">
        <w:rPr>
          <w:b/>
          <w:bCs/>
          <w:color w:val="000000"/>
        </w:rPr>
        <w:t xml:space="preserve"> Jurisdictions</w:t>
      </w:r>
    </w:p>
    <w:p w:rsidR="002E2BDE" w:rsidRPr="00762028" w:rsidRDefault="002E2BDE" w:rsidP="002E2BDE">
      <w:pPr>
        <w:pStyle w:val="NormalWeb"/>
        <w:shd w:val="clear" w:color="auto" w:fill="FFFFFF"/>
        <w:spacing w:before="0" w:beforeAutospacing="0" w:after="0" w:afterAutospacing="0"/>
        <w:jc w:val="both"/>
        <w:rPr>
          <w:b/>
          <w:color w:val="000000"/>
        </w:rPr>
      </w:pPr>
    </w:p>
    <w:p w:rsidR="002E2BDE" w:rsidRPr="00762028" w:rsidRDefault="002E2BDE" w:rsidP="002E2BDE">
      <w:pPr>
        <w:pStyle w:val="NormalWeb"/>
        <w:shd w:val="clear" w:color="auto" w:fill="FFFFFF"/>
        <w:spacing w:before="0" w:beforeAutospacing="0" w:after="0" w:afterAutospacing="0"/>
        <w:jc w:val="both"/>
        <w:rPr>
          <w:b/>
          <w:color w:val="000000"/>
        </w:rPr>
      </w:pPr>
      <w:proofErr w:type="gramStart"/>
      <w:r w:rsidRPr="00762028">
        <w:rPr>
          <w:b/>
          <w:color w:val="000000"/>
        </w:rPr>
        <w:t>RBI/2021-22/55CO.DPSS.AUTH.No.S</w:t>
      </w:r>
      <w:proofErr w:type="gramEnd"/>
      <w:r w:rsidRPr="00762028">
        <w:rPr>
          <w:b/>
          <w:color w:val="000000"/>
        </w:rPr>
        <w:t>190/02.27.005/2021-22</w:t>
      </w:r>
      <w:r w:rsidRPr="00762028">
        <w:rPr>
          <w:b/>
          <w:color w:val="000000"/>
        </w:rPr>
        <w:tab/>
      </w:r>
      <w:r w:rsidRPr="00762028">
        <w:rPr>
          <w:b/>
          <w:color w:val="000000"/>
        </w:rPr>
        <w:tab/>
        <w:t>June 14, 2021</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762028" w:rsidRDefault="002E2BDE" w:rsidP="002E2BDE">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lastRenderedPageBreak/>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762028" w:rsidRDefault="002E2BDE" w:rsidP="002E2BDE">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per cent of the existing voting powers, and (ii) 20 per cent of existing and potential voting powers assuming those potential voting rights have materialised.</w:t>
      </w:r>
    </w:p>
    <w:p w:rsidR="002E2BDE" w:rsidRDefault="002E2BDE"/>
    <w:p w:rsidR="002E2BDE" w:rsidRDefault="002E2BDE"/>
    <w:p w:rsidR="002E2BDE" w:rsidRPr="00BE0E8C" w:rsidRDefault="002E2BDE" w:rsidP="002E2BD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Risk Based Internal Audit (RBIA) Framework – Strengthening Governance arrangements</w:t>
      </w:r>
    </w:p>
    <w:p w:rsidR="002E2BDE" w:rsidRPr="00BE0E8C" w:rsidRDefault="002E2BDE" w:rsidP="002E2BDE">
      <w:pPr>
        <w:spacing w:after="0" w:line="240" w:lineRule="auto"/>
        <w:jc w:val="both"/>
        <w:rPr>
          <w:rFonts w:ascii="Times New Roman" w:hAnsi="Times New Roman" w:cs="Times New Roman"/>
          <w:b/>
          <w:sz w:val="24"/>
          <w:szCs w:val="24"/>
        </w:rPr>
      </w:pPr>
    </w:p>
    <w:p w:rsidR="002E2BDE" w:rsidRPr="00BE0E8C" w:rsidRDefault="002E2BDE" w:rsidP="002E2BD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w:t>
      </w:r>
      <w:proofErr w:type="spellStart"/>
      <w:proofErr w:type="gramStart"/>
      <w:r w:rsidRPr="00BE0E8C">
        <w:rPr>
          <w:rFonts w:ascii="Times New Roman" w:hAnsi="Times New Roman" w:cs="Times New Roman"/>
          <w:b/>
          <w:sz w:val="24"/>
          <w:szCs w:val="24"/>
        </w:rPr>
        <w:t>Ref.No.DoS.CO.PPG</w:t>
      </w:r>
      <w:proofErr w:type="spellEnd"/>
      <w:r w:rsidRPr="00BE0E8C">
        <w:rPr>
          <w:rFonts w:ascii="Times New Roman" w:hAnsi="Times New Roman" w:cs="Times New Roman"/>
          <w:b/>
          <w:sz w:val="24"/>
          <w:szCs w:val="24"/>
        </w:rPr>
        <w:t>./</w:t>
      </w:r>
      <w:proofErr w:type="gramEnd"/>
      <w:r w:rsidRPr="00BE0E8C">
        <w:rPr>
          <w:rFonts w:ascii="Times New Roman" w:hAnsi="Times New Roman" w:cs="Times New Roman"/>
          <w:b/>
          <w:sz w:val="24"/>
          <w:szCs w:val="24"/>
        </w:rPr>
        <w:t xml:space="preserve">SEC.04/11.01.005/2020-21 </w:t>
      </w:r>
      <w:r w:rsidRPr="00BE0E8C">
        <w:rPr>
          <w:rFonts w:ascii="Times New Roman" w:hAnsi="Times New Roman" w:cs="Times New Roman"/>
          <w:b/>
          <w:sz w:val="24"/>
          <w:szCs w:val="24"/>
        </w:rPr>
        <w:tab/>
        <w:t>January 07, 2021</w:t>
      </w:r>
    </w:p>
    <w:p w:rsidR="002E2BDE" w:rsidRPr="00BE0E8C" w:rsidRDefault="002E2BDE" w:rsidP="002E2BDE">
      <w:pPr>
        <w:spacing w:after="0" w:line="240" w:lineRule="auto"/>
        <w:jc w:val="both"/>
        <w:rPr>
          <w:rFonts w:ascii="Times New Roman" w:hAnsi="Times New Roman" w:cs="Times New Roman"/>
          <w:sz w:val="24"/>
          <w:szCs w:val="24"/>
        </w:rPr>
      </w:pPr>
    </w:p>
    <w:p w:rsidR="002E2BDE" w:rsidRPr="00BE0E8C" w:rsidRDefault="002E2BDE" w:rsidP="002E2BDE">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All Scheduled Commercial Banks (Excluding RRBs), All Local Area Banks, All Small Finance Banks and All Payments Banks</w:t>
      </w:r>
    </w:p>
    <w:p w:rsidR="002E2BDE" w:rsidRPr="00BE0E8C" w:rsidRDefault="002E2BDE" w:rsidP="002E2BDE">
      <w:pPr>
        <w:spacing w:after="0" w:line="240" w:lineRule="auto"/>
        <w:jc w:val="both"/>
        <w:rPr>
          <w:rFonts w:ascii="Times New Roman" w:hAnsi="Times New Roman" w:cs="Times New Roman"/>
          <w:sz w:val="24"/>
          <w:szCs w:val="24"/>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22"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HIA shall be appointed for a reasonably long period, preferably for a minimum of three years.</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2E2BDE" w:rsidRPr="00BE0E8C" w:rsidRDefault="002E2BDE" w:rsidP="002E2BDE">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23"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2E2BDE" w:rsidRPr="00BE0E8C" w:rsidRDefault="002E2BDE" w:rsidP="002E2BD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E917D6" w:rsidP="002E2BD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24" w:history="1">
        <w:r w:rsidR="002E2BDE" w:rsidRPr="00BE0E8C">
          <w:rPr>
            <w:rStyle w:val="Hyperlink"/>
            <w:rFonts w:ascii="Times New Roman" w:eastAsia="Times New Roman" w:hAnsi="Times New Roman" w:cs="Times New Roman"/>
            <w:sz w:val="24"/>
            <w:szCs w:val="24"/>
            <w:lang w:eastAsia="en-IN"/>
          </w:rPr>
          <w:t>https://www.rbi.org.in/Scripts/NotificationUser.aspx?Id=12011&amp;Mode=0</w:t>
        </w:r>
      </w:hyperlink>
      <w:r w:rsidR="002E2BDE" w:rsidRPr="00BE0E8C">
        <w:rPr>
          <w:rFonts w:ascii="Times New Roman" w:eastAsia="Times New Roman" w:hAnsi="Times New Roman" w:cs="Times New Roman"/>
          <w:color w:val="000000"/>
          <w:sz w:val="24"/>
          <w:szCs w:val="24"/>
          <w:lang w:eastAsia="en-IN"/>
        </w:rPr>
        <w:t xml:space="preserve"> </w:t>
      </w:r>
    </w:p>
    <w:p w:rsidR="002E2BDE" w:rsidRPr="00BE0E8C" w:rsidRDefault="002E2BDE" w:rsidP="002E2BD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2E2BDE" w:rsidRDefault="002E2BDE"/>
    <w:p w:rsidR="002E2BDE" w:rsidRPr="00C760EA" w:rsidRDefault="002E2BDE" w:rsidP="002E2BDE">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Transactions in Government securities by Foreign Portfolio Investors: Reporting</w:t>
      </w:r>
    </w:p>
    <w:p w:rsidR="002E2BDE" w:rsidRDefault="002E2BDE" w:rsidP="002E2BDE">
      <w:pPr>
        <w:shd w:val="clear" w:color="auto" w:fill="FFFFFF"/>
        <w:spacing w:after="0" w:line="240" w:lineRule="auto"/>
        <w:jc w:val="both"/>
        <w:rPr>
          <w:rFonts w:ascii="Times New Roman" w:hAnsi="Times New Roman" w:cs="Times New Roman"/>
          <w:color w:val="000000"/>
          <w:sz w:val="24"/>
          <w:szCs w:val="24"/>
        </w:rPr>
      </w:pPr>
    </w:p>
    <w:p w:rsidR="002E2BDE" w:rsidRPr="00762028" w:rsidRDefault="002E2BDE" w:rsidP="002E2BDE">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2E2BDE" w:rsidRDefault="002E2BDE" w:rsidP="002E2BDE">
      <w:pPr>
        <w:pStyle w:val="NormalWeb"/>
        <w:shd w:val="clear" w:color="auto" w:fill="FFFFFF"/>
        <w:spacing w:before="0" w:beforeAutospacing="0" w:after="0" w:afterAutospacing="0"/>
        <w:jc w:val="both"/>
        <w:rPr>
          <w:i/>
          <w:color w:val="000000"/>
        </w:rPr>
      </w:pPr>
    </w:p>
    <w:p w:rsidR="002E2BDE" w:rsidRPr="00762028" w:rsidRDefault="002E2BDE" w:rsidP="002E2BDE">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2E2BDE" w:rsidRPr="00C760EA" w:rsidRDefault="002E2BDE" w:rsidP="002E2BDE">
      <w:pPr>
        <w:pStyle w:val="NormalWeb"/>
        <w:numPr>
          <w:ilvl w:val="0"/>
          <w:numId w:val="4"/>
        </w:numPr>
        <w:shd w:val="clear" w:color="auto" w:fill="FFFFFF"/>
        <w:spacing w:before="0" w:beforeAutospacing="0" w:after="0" w:afterAutospacing="0"/>
        <w:jc w:val="both"/>
        <w:rPr>
          <w:color w:val="000000"/>
        </w:rPr>
      </w:pPr>
      <w:r w:rsidRPr="00C760EA">
        <w:rPr>
          <w:color w:val="000000"/>
        </w:rPr>
        <w:t>FPIs/custodian banks shall report their transactions to the NDS-OM platform within three hours after the close of trading hours for the Government securities market.</w:t>
      </w:r>
    </w:p>
    <w:p w:rsidR="002E2BDE" w:rsidRPr="00C760EA" w:rsidRDefault="002E2BDE" w:rsidP="002E2BDE">
      <w:pPr>
        <w:pStyle w:val="NormalWeb"/>
        <w:numPr>
          <w:ilvl w:val="0"/>
          <w:numId w:val="4"/>
        </w:numPr>
        <w:shd w:val="clear" w:color="auto" w:fill="FFFFFF"/>
        <w:spacing w:before="0" w:beforeAutospacing="0" w:after="0" w:afterAutospacing="0"/>
        <w:jc w:val="both"/>
        <w:rPr>
          <w:color w:val="000000"/>
        </w:rPr>
      </w:pPr>
      <w:r w:rsidRPr="00C760EA">
        <w:rPr>
          <w:color w:val="000000"/>
        </w:rPr>
        <w:t xml:space="preserve">Information about trades undertaken by domestic counterparties with FPIs shall be disseminated by the </w:t>
      </w:r>
      <w:proofErr w:type="spellStart"/>
      <w:r w:rsidRPr="00C760EA">
        <w:rPr>
          <w:color w:val="000000"/>
        </w:rPr>
        <w:t>Clearcorp</w:t>
      </w:r>
      <w:proofErr w:type="spellEnd"/>
      <w:r w:rsidRPr="00C760EA">
        <w:rPr>
          <w:color w:val="000000"/>
        </w:rPr>
        <w:t xml:space="preserve"> Dealing Systems (India) Ltd. (CDSL) after one leg of the trade is reported on the NDS-OM platform by the domestic counterparty with a suitable qualifier to indicate that the trade is awaiting counterparty confirmation.</w:t>
      </w:r>
    </w:p>
    <w:p w:rsidR="002E2BDE" w:rsidRPr="00C760EA" w:rsidRDefault="002E2BDE" w:rsidP="002E2BDE">
      <w:pPr>
        <w:pStyle w:val="NormalWeb"/>
        <w:numPr>
          <w:ilvl w:val="0"/>
          <w:numId w:val="4"/>
        </w:numPr>
        <w:shd w:val="clear" w:color="auto" w:fill="FFFFFF"/>
        <w:spacing w:before="0" w:beforeAutospacing="0" w:after="0" w:afterAutospacing="0"/>
        <w:jc w:val="both"/>
        <w:rPr>
          <w:color w:val="000000"/>
        </w:rPr>
      </w:pPr>
      <w:r w:rsidRPr="00C760EA">
        <w:rPr>
          <w:color w:val="000000"/>
        </w:rPr>
        <w:t>Domestic market participants, including domestic counterparties to transactions with FPIs, shall continue to report transactions to the NDS-OM platform as per extant practice.</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lastRenderedPageBreak/>
        <w:t>4. These Directions are issued under the powers vested in the Reserve Bank of India under Section 45W of the Reserve Bank of India Act, 1934 and are without prejudice to permissions/ approvals, if any, required under any other law.</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2E2BDE" w:rsidRDefault="002E2BDE"/>
    <w:p w:rsidR="002E2BDE" w:rsidRPr="00C760EA" w:rsidRDefault="002E2BDE" w:rsidP="002E2BDE">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Master Direction – Reserve Bank of India (Certificate of Deposit) Directions, 2021</w:t>
      </w:r>
    </w:p>
    <w:p w:rsidR="002E2BDE"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762028" w:rsidRDefault="002E2BDE" w:rsidP="002E2BD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2E2BDE" w:rsidRDefault="002E2BDE" w:rsidP="002E2BDE">
      <w:pPr>
        <w:pStyle w:val="NormalWeb"/>
        <w:spacing w:before="0" w:beforeAutospacing="0" w:after="0" w:afterAutospacing="0"/>
        <w:jc w:val="both"/>
        <w:rPr>
          <w:color w:val="000000"/>
        </w:rPr>
      </w:pPr>
    </w:p>
    <w:p w:rsidR="002E2BDE" w:rsidRPr="00762028" w:rsidRDefault="002E2BDE" w:rsidP="002E2BDE">
      <w:pPr>
        <w:pStyle w:val="NormalWeb"/>
        <w:spacing w:before="0" w:beforeAutospacing="0" w:after="0" w:afterAutospacing="0"/>
        <w:jc w:val="both"/>
        <w:rPr>
          <w:i/>
          <w:color w:val="000000"/>
        </w:rPr>
      </w:pPr>
      <w:r w:rsidRPr="00762028">
        <w:rPr>
          <w:i/>
          <w:color w:val="000000"/>
        </w:rPr>
        <w:t>All Eligible Market Participants</w:t>
      </w:r>
    </w:p>
    <w:p w:rsidR="002E2BDE" w:rsidRDefault="002E2BDE" w:rsidP="002E2BDE">
      <w:pPr>
        <w:pStyle w:val="NormalWeb"/>
        <w:spacing w:before="0" w:beforeAutospacing="0" w:after="0" w:afterAutospacing="0"/>
        <w:jc w:val="both"/>
        <w:rPr>
          <w:color w:val="000000"/>
        </w:rPr>
      </w:pPr>
    </w:p>
    <w:p w:rsidR="002E2BDE" w:rsidRPr="00C760EA" w:rsidRDefault="002E2BDE" w:rsidP="002E2BDE">
      <w:pPr>
        <w:pStyle w:val="NormalWeb"/>
        <w:spacing w:before="0" w:beforeAutospacing="0" w:after="0" w:afterAutospacing="0"/>
        <w:jc w:val="both"/>
        <w:rPr>
          <w:color w:val="000000"/>
        </w:rPr>
      </w:pPr>
      <w:r w:rsidRPr="00C760EA">
        <w:rPr>
          <w:color w:val="000000"/>
        </w:rPr>
        <w:t>Please refer to Paragraph 6 of the </w:t>
      </w:r>
      <w:hyperlink r:id="rId25" w:tgtFrame="_blank" w:history="1">
        <w:r w:rsidRPr="00C760EA">
          <w:rPr>
            <w:rStyle w:val="Hyperlink"/>
          </w:rPr>
          <w:t>Statement on Developmental and Regulatory Policies</w:t>
        </w:r>
      </w:hyperlink>
      <w:r w:rsidRPr="00C760EA">
        <w:rPr>
          <w:color w:val="000000"/>
        </w:rPr>
        <w:t>, announced as a part of the </w:t>
      </w:r>
      <w:hyperlink r:id="rId26"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27" w:tgtFrame="_blank" w:history="1">
        <w:r w:rsidRPr="00C760EA">
          <w:rPr>
            <w:rStyle w:val="Hyperlink"/>
          </w:rPr>
          <w:t>Statement on Developmental and Regulatory Policies</w:t>
        </w:r>
      </w:hyperlink>
      <w:r w:rsidRPr="00C760EA">
        <w:rPr>
          <w:color w:val="000000"/>
        </w:rPr>
        <w:t>, announced as a part of the </w:t>
      </w:r>
      <w:hyperlink r:id="rId28"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2E2BDE" w:rsidRDefault="002E2BDE" w:rsidP="002E2BDE">
      <w:pPr>
        <w:pStyle w:val="NormalWeb"/>
        <w:spacing w:before="0" w:beforeAutospacing="0" w:after="0" w:afterAutospacing="0"/>
        <w:jc w:val="both"/>
        <w:rPr>
          <w:color w:val="000000"/>
        </w:rPr>
      </w:pPr>
    </w:p>
    <w:p w:rsidR="002E2BDE" w:rsidRPr="00C760EA" w:rsidRDefault="002E2BDE" w:rsidP="002E2BDE">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29"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2E2BDE" w:rsidRPr="00C760EA" w:rsidRDefault="002E2BDE" w:rsidP="002E2BDE">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proofErr w:type="spellStart"/>
      <w:r>
        <w:fldChar w:fldCharType="begin"/>
      </w:r>
      <w:r>
        <w:instrText xml:space="preserve"> HYPERLINK "https://www.rbi.org.in/Scripts/BS_ViewMasDirections.aspx?id=10495" \t "_blank" </w:instrText>
      </w:r>
      <w:r>
        <w:fldChar w:fldCharType="separate"/>
      </w:r>
      <w:r w:rsidRPr="00C760EA">
        <w:rPr>
          <w:rStyle w:val="Hyperlink"/>
        </w:rPr>
        <w:t>FMRD.Master</w:t>
      </w:r>
      <w:proofErr w:type="spellEnd"/>
      <w:r w:rsidRPr="00C760EA">
        <w:rPr>
          <w:rStyle w:val="Hyperlink"/>
        </w:rPr>
        <w:t xml:space="preserve"> Direction No. 2/2016-17 dated July 07, 2016</w:t>
      </w:r>
      <w:r>
        <w:rPr>
          <w:rStyle w:val="Hyperlink"/>
        </w:rPr>
        <w:fldChar w:fldCharType="end"/>
      </w:r>
      <w:r w:rsidRPr="00C760EA">
        <w:rPr>
          <w:color w:val="000000"/>
        </w:rPr>
        <w:t>, the Reserve Bank of India (hereinafter called the Reserve Bank) hereby issues the following Directions to all persons and agencies eligible to deal in Certificate of Deposit.</w:t>
      </w:r>
    </w:p>
    <w:p w:rsidR="002E2BDE" w:rsidRDefault="002E2BDE" w:rsidP="002E2BDE">
      <w:pPr>
        <w:pStyle w:val="head"/>
        <w:spacing w:before="0" w:beforeAutospacing="0" w:after="0" w:afterAutospacing="0"/>
        <w:jc w:val="both"/>
        <w:rPr>
          <w:b/>
          <w:bCs/>
          <w:color w:val="000000"/>
        </w:rPr>
      </w:pPr>
    </w:p>
    <w:p w:rsidR="002E2BDE" w:rsidRDefault="002E2BDE" w:rsidP="002E2BDE">
      <w:pPr>
        <w:pStyle w:val="head"/>
        <w:spacing w:before="0" w:beforeAutospacing="0" w:after="0" w:afterAutospacing="0"/>
        <w:jc w:val="both"/>
        <w:rPr>
          <w:b/>
          <w:bCs/>
          <w:color w:val="000000"/>
        </w:rPr>
      </w:pPr>
      <w:r>
        <w:rPr>
          <w:b/>
          <w:bCs/>
          <w:color w:val="000000"/>
        </w:rPr>
        <w:t>Master Direction</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1. Short title, scope and commencement</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2. Definitions</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C760EA">
        <w:rPr>
          <w:color w:val="000000"/>
        </w:rPr>
        <w:t>ja</w:t>
      </w:r>
      <w:proofErr w:type="spellEnd"/>
      <w:r w:rsidRPr="00C760EA">
        <w:rPr>
          <w:color w:val="000000"/>
        </w:rPr>
        <w:t>), (da) and (</w:t>
      </w:r>
      <w:proofErr w:type="spellStart"/>
      <w:r w:rsidRPr="00C760EA">
        <w:rPr>
          <w:color w:val="000000"/>
        </w:rPr>
        <w:t>nc</w:t>
      </w:r>
      <w:proofErr w:type="spellEnd"/>
      <w:r w:rsidRPr="00C760EA">
        <w:rPr>
          <w:color w:val="000000"/>
        </w:rPr>
        <w:t>), of section 5 respectively thereof, or a “cooperative bank” as defined in clause (cci) of section 5 read with section 56 of the said Act;</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xml:space="preserve"> is a negotiable, unsecured money market instrument issued by a bank as a </w:t>
      </w:r>
      <w:proofErr w:type="spellStart"/>
      <w:r w:rsidRPr="00C760EA">
        <w:rPr>
          <w:color w:val="000000"/>
        </w:rPr>
        <w:t>Usance</w:t>
      </w:r>
      <w:proofErr w:type="spellEnd"/>
      <w:r w:rsidRPr="00C760EA">
        <w:rPr>
          <w:color w:val="000000"/>
        </w:rPr>
        <w:t xml:space="preserve"> Promissory Note against funds deposited at the bank for a maturity period </w:t>
      </w:r>
      <w:proofErr w:type="spellStart"/>
      <w:r w:rsidRPr="00C760EA">
        <w:rPr>
          <w:color w:val="000000"/>
        </w:rPr>
        <w:t>upto</w:t>
      </w:r>
      <w:proofErr w:type="spellEnd"/>
      <w:r w:rsidRPr="00C760EA">
        <w:rPr>
          <w:color w:val="000000"/>
        </w:rPr>
        <w:t xml:space="preserve"> one year;</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lastRenderedPageBreak/>
        <w:t>“Delivery versus Payment” or “</w:t>
      </w:r>
      <w:proofErr w:type="spellStart"/>
      <w:r w:rsidRPr="00C760EA">
        <w:rPr>
          <w:rStyle w:val="head1"/>
          <w:b/>
          <w:bCs/>
          <w:color w:val="000000"/>
        </w:rPr>
        <w:t>DvP</w:t>
      </w:r>
      <w:proofErr w:type="spellEnd"/>
      <w:r w:rsidRPr="00C760EA">
        <w:rPr>
          <w:rStyle w:val="head1"/>
          <w:b/>
          <w:bCs/>
          <w:color w:val="000000"/>
        </w:rPr>
        <w:t>”</w:t>
      </w:r>
      <w:r w:rsidRPr="00C760EA">
        <w:rPr>
          <w:color w:val="000000"/>
        </w:rPr>
        <w:t> means a settlement mechanism which stipulates that transfer of funds from the buyer of securities is made simultaneously with the transfer of securities by the seller of securities;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30" w:tgtFrame="_blank" w:history="1">
        <w:r w:rsidRPr="00C760EA">
          <w:rPr>
            <w:rStyle w:val="Hyperlink"/>
          </w:rPr>
          <w:t>Financial Benchmark Administrators (Reserve Bank) Directions, dated June 26, 2019</w:t>
        </w:r>
      </w:hyperlink>
      <w:r w:rsidRPr="00C760EA">
        <w:rPr>
          <w:color w:val="000000"/>
        </w:rPr>
        <w:t>;</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31" w:tgtFrame="_blank" w:history="1">
        <w:r w:rsidRPr="00C760EA">
          <w:rPr>
            <w:rStyle w:val="Hyperlink"/>
          </w:rPr>
          <w:t>Guidelines for Licensing of Small Finance Banks” dated November 27, 2014</w:t>
        </w:r>
      </w:hyperlink>
      <w:r w:rsidRPr="00C760EA">
        <w:rPr>
          <w:color w:val="000000"/>
        </w:rPr>
        <w:t>, as amended from time to time.</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3. Eligible issuers</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2E2BDE" w:rsidRPr="00C760EA" w:rsidRDefault="002E2BDE" w:rsidP="002E2BDE">
      <w:pPr>
        <w:pStyle w:val="NormalWeb"/>
        <w:numPr>
          <w:ilvl w:val="0"/>
          <w:numId w:val="6"/>
        </w:numPr>
        <w:spacing w:before="0" w:beforeAutospacing="0" w:after="0" w:afterAutospacing="0"/>
        <w:jc w:val="both"/>
        <w:rPr>
          <w:color w:val="000000"/>
        </w:rPr>
      </w:pPr>
      <w:r w:rsidRPr="00C760EA">
        <w:rPr>
          <w:color w:val="000000"/>
        </w:rPr>
        <w:t>Scheduled Commercial Banks;</w:t>
      </w:r>
    </w:p>
    <w:p w:rsidR="002E2BDE" w:rsidRPr="00C760EA" w:rsidRDefault="002E2BDE" w:rsidP="002E2BDE">
      <w:pPr>
        <w:pStyle w:val="NormalWeb"/>
        <w:numPr>
          <w:ilvl w:val="0"/>
          <w:numId w:val="6"/>
        </w:numPr>
        <w:spacing w:before="0" w:beforeAutospacing="0" w:after="0" w:afterAutospacing="0"/>
        <w:jc w:val="both"/>
        <w:rPr>
          <w:color w:val="000000"/>
        </w:rPr>
      </w:pPr>
      <w:r w:rsidRPr="00C760EA">
        <w:rPr>
          <w:color w:val="000000"/>
        </w:rPr>
        <w:t>Regional Rural Banks; and</w:t>
      </w:r>
    </w:p>
    <w:p w:rsidR="002E2BDE" w:rsidRPr="00C760EA" w:rsidRDefault="002E2BDE" w:rsidP="002E2BDE">
      <w:pPr>
        <w:pStyle w:val="NormalWeb"/>
        <w:numPr>
          <w:ilvl w:val="0"/>
          <w:numId w:val="6"/>
        </w:numPr>
        <w:spacing w:before="0" w:beforeAutospacing="0" w:after="0" w:afterAutospacing="0"/>
        <w:jc w:val="both"/>
        <w:rPr>
          <w:color w:val="000000"/>
        </w:rPr>
      </w:pPr>
      <w:r w:rsidRPr="00C760EA">
        <w:rPr>
          <w:color w:val="000000"/>
        </w:rPr>
        <w:t>Small Finance Banks.</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32"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4. Eligible investors</w:t>
      </w:r>
    </w:p>
    <w:p w:rsidR="002E2BDE" w:rsidRPr="00C760EA" w:rsidRDefault="002E2BDE" w:rsidP="002E2BDE">
      <w:pPr>
        <w:pStyle w:val="NormalWeb"/>
        <w:spacing w:before="0" w:beforeAutospacing="0" w:after="0" w:afterAutospacing="0"/>
        <w:jc w:val="both"/>
        <w:rPr>
          <w:color w:val="000000"/>
        </w:rPr>
      </w:pPr>
      <w:r w:rsidRPr="00C760EA">
        <w:rPr>
          <w:color w:val="000000"/>
        </w:rPr>
        <w:t xml:space="preserve">CDs may be issued to all </w:t>
      </w:r>
      <w:proofErr w:type="gramStart"/>
      <w:r w:rsidRPr="00C760EA">
        <w:rPr>
          <w:color w:val="000000"/>
        </w:rPr>
        <w:t>persons</w:t>
      </w:r>
      <w:proofErr w:type="gramEnd"/>
      <w:r w:rsidRPr="00C760EA">
        <w:rPr>
          <w:color w:val="000000"/>
        </w:rPr>
        <w:t xml:space="preserve"> resident in India.</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5. General guidelines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(a) Primary issuance</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 xml:space="preserve">CDs shall be issued in minimum denomination of ₹5 </w:t>
      </w:r>
      <w:proofErr w:type="gramStart"/>
      <w:r w:rsidRPr="00C760EA">
        <w:rPr>
          <w:color w:val="000000"/>
        </w:rPr>
        <w:t>lakh</w:t>
      </w:r>
      <w:proofErr w:type="gramEnd"/>
      <w:r w:rsidRPr="00C760EA">
        <w:rPr>
          <w:color w:val="000000"/>
        </w:rPr>
        <w:t xml:space="preserve"> and in multiples of ₹5 lakh thereafter.</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(b) Discount/coupon rate</w:t>
      </w:r>
    </w:p>
    <w:p w:rsidR="002E2BDE" w:rsidRPr="00C760EA" w:rsidRDefault="002E2BDE" w:rsidP="002E2BDE">
      <w:pPr>
        <w:pStyle w:val="NormalWeb"/>
        <w:spacing w:before="0" w:beforeAutospacing="0" w:after="0" w:afterAutospacing="0"/>
        <w:jc w:val="both"/>
        <w:rPr>
          <w:color w:val="000000"/>
        </w:rPr>
      </w:pPr>
      <w:r w:rsidRPr="00C760EA">
        <w:rPr>
          <w:color w:val="000000"/>
        </w:rPr>
        <w:lastRenderedPageBreak/>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(c) Secondary market - trading venues and settlement</w:t>
      </w:r>
    </w:p>
    <w:p w:rsidR="002E2BDE" w:rsidRPr="00C760EA" w:rsidRDefault="002E2BDE" w:rsidP="002E2BDE">
      <w:pPr>
        <w:pStyle w:val="NormalWeb"/>
        <w:numPr>
          <w:ilvl w:val="0"/>
          <w:numId w:val="8"/>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2E2BDE" w:rsidRPr="00C760EA" w:rsidRDefault="002E2BDE" w:rsidP="002E2BDE">
      <w:pPr>
        <w:pStyle w:val="NormalWeb"/>
        <w:numPr>
          <w:ilvl w:val="0"/>
          <w:numId w:val="8"/>
        </w:numPr>
        <w:spacing w:before="0" w:beforeAutospacing="0" w:after="0" w:afterAutospacing="0"/>
        <w:jc w:val="both"/>
        <w:rPr>
          <w:color w:val="000000"/>
        </w:rPr>
      </w:pPr>
      <w:r w:rsidRPr="00C760EA">
        <w:rPr>
          <w:color w:val="000000"/>
        </w:rPr>
        <w:t>The settlement cycle for OTC trades in CDs shall be T+0 or T+1.</w:t>
      </w:r>
    </w:p>
    <w:p w:rsidR="002E2BDE" w:rsidRPr="00C760EA" w:rsidRDefault="002E2BDE" w:rsidP="002E2BDE">
      <w:pPr>
        <w:pStyle w:val="NormalWeb"/>
        <w:numPr>
          <w:ilvl w:val="0"/>
          <w:numId w:val="8"/>
        </w:numPr>
        <w:spacing w:before="0" w:beforeAutospacing="0" w:after="0" w:afterAutospacing="0"/>
        <w:jc w:val="both"/>
        <w:rPr>
          <w:color w:val="000000"/>
        </w:rPr>
      </w:pPr>
      <w:r w:rsidRPr="00C760EA">
        <w:rPr>
          <w:color w:val="000000"/>
        </w:rPr>
        <w:t xml:space="preserve">All secondary market transactions in CDs shall be settled on a </w:t>
      </w:r>
      <w:proofErr w:type="spellStart"/>
      <w:r w:rsidRPr="00C760EA">
        <w:rPr>
          <w:color w:val="000000"/>
        </w:rPr>
        <w:t>DvP</w:t>
      </w:r>
      <w:proofErr w:type="spellEnd"/>
      <w:r w:rsidRPr="00C760EA">
        <w:rPr>
          <w:color w:val="000000"/>
        </w:rPr>
        <w:t xml:space="preserve"> basis through the clearing corporation of any recognized stock exchange or any other mechanism approved by the Reserve Bank.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(d) Loans against CDs</w:t>
      </w:r>
    </w:p>
    <w:p w:rsidR="002E2BDE" w:rsidRPr="00C760EA" w:rsidRDefault="002E2BDE" w:rsidP="002E2BDE">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(e) Buyback of CDs</w:t>
      </w:r>
    </w:p>
    <w:p w:rsidR="002E2BDE" w:rsidRPr="00C760EA" w:rsidRDefault="002E2BDE" w:rsidP="002E2BDE">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Buyback of CDs can be made only 7 days after the date of issue of the CD;</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Buyback of CDs shall be at the prevailing market price; and</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CDs bought back, partially or in full, shall be extinguished.</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(f) Market timings</w:t>
      </w:r>
    </w:p>
    <w:p w:rsidR="002E2BDE" w:rsidRPr="00C760EA" w:rsidRDefault="002E2BDE" w:rsidP="002E2BDE">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(g) Repayment of CD</w:t>
      </w:r>
    </w:p>
    <w:p w:rsidR="002E2BDE" w:rsidRPr="00C760EA" w:rsidRDefault="002E2BDE" w:rsidP="002E2BDE">
      <w:pPr>
        <w:pStyle w:val="NormalWeb"/>
        <w:spacing w:before="0" w:beforeAutospacing="0" w:after="0" w:afterAutospacing="0"/>
        <w:jc w:val="both"/>
        <w:rPr>
          <w:color w:val="000000"/>
        </w:rPr>
      </w:pPr>
      <w:r w:rsidRPr="00C760EA">
        <w:rPr>
          <w:color w:val="000000"/>
        </w:rPr>
        <w:t>There will be no grace period for repayment of CDs.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(h) Market practices and documentation</w:t>
      </w:r>
    </w:p>
    <w:p w:rsidR="002E2BDE" w:rsidRPr="00C760EA" w:rsidRDefault="002E2BDE" w:rsidP="002E2BDE">
      <w:pPr>
        <w:pStyle w:val="NormalWeb"/>
        <w:spacing w:before="0" w:beforeAutospacing="0" w:after="0" w:afterAutospacing="0"/>
        <w:jc w:val="both"/>
        <w:rPr>
          <w:color w:val="000000"/>
        </w:rPr>
      </w:pPr>
      <w:r w:rsidRPr="00C760EA">
        <w:rPr>
          <w:color w:val="000000"/>
        </w:rPr>
        <w:t>Eligible participants and agencies in the CD market shall follow the standardised procedures and documentation which may be prescribed by FIMMDA, in consultation with the Reserve Bank, for operational flexibility and smooth functioning of the markets.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(i) Reserve requirements</w:t>
      </w:r>
    </w:p>
    <w:p w:rsidR="002E2BDE" w:rsidRPr="00C760EA" w:rsidRDefault="002E2BDE" w:rsidP="002E2BDE">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(j) Accounting</w:t>
      </w:r>
    </w:p>
    <w:p w:rsidR="002E2BDE" w:rsidRPr="00C760EA" w:rsidRDefault="002E2BDE" w:rsidP="002E2BDE">
      <w:pPr>
        <w:pStyle w:val="NormalWeb"/>
        <w:spacing w:before="0" w:beforeAutospacing="0" w:after="0" w:afterAutospacing="0"/>
        <w:jc w:val="both"/>
        <w:rPr>
          <w:color w:val="000000"/>
        </w:rPr>
      </w:pPr>
      <w:r w:rsidRPr="00C760EA">
        <w:rPr>
          <w:color w:val="000000"/>
        </w:rPr>
        <w:t>Accounting for CD transactions shall be as per the applicable accounting standards prescribed by the Institute of Chartered Accountants of India (ICAI) or other standard setting organisations or as specified by the relevant regulations of the Reserve Bank.</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6. Reporting requirements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(a) Primary issuance</w:t>
      </w:r>
    </w:p>
    <w:p w:rsidR="002E2BDE" w:rsidRPr="00C760EA" w:rsidRDefault="002E2BDE" w:rsidP="002E2BDE">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(b) Secondary market transactions</w:t>
      </w:r>
    </w:p>
    <w:p w:rsidR="002E2BDE" w:rsidRPr="00C760EA" w:rsidRDefault="002E2BDE" w:rsidP="002E2BDE">
      <w:pPr>
        <w:pStyle w:val="NormalWeb"/>
        <w:spacing w:before="0" w:beforeAutospacing="0" w:after="0" w:afterAutospacing="0"/>
        <w:jc w:val="both"/>
        <w:rPr>
          <w:color w:val="000000"/>
        </w:rPr>
      </w:pPr>
      <w:r w:rsidRPr="00C760EA">
        <w:rPr>
          <w:color w:val="000000"/>
        </w:rPr>
        <w:lastRenderedPageBreak/>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(c) Buyback transactions</w:t>
      </w:r>
    </w:p>
    <w:p w:rsidR="002E2BDE" w:rsidRPr="00C760EA" w:rsidRDefault="002E2BDE" w:rsidP="002E2BDE">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(d) Reporting by depositories</w:t>
      </w:r>
    </w:p>
    <w:p w:rsidR="002E2BDE" w:rsidRPr="00C760EA" w:rsidRDefault="002E2BDE" w:rsidP="002E2BDE">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33"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2E2BDE" w:rsidRPr="00C760EA" w:rsidRDefault="002E2BDE" w:rsidP="002E2BDE">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8. Dissemination of data</w:t>
      </w:r>
    </w:p>
    <w:p w:rsidR="002E2BDE" w:rsidRPr="00C760EA" w:rsidRDefault="002E2BDE" w:rsidP="002E2BDE">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9. Violation of Directions</w:t>
      </w:r>
    </w:p>
    <w:p w:rsidR="002E2BDE" w:rsidRPr="00C760EA" w:rsidRDefault="002E2BDE" w:rsidP="002E2BDE">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2E2BDE" w:rsidRPr="00C760EA" w:rsidRDefault="002E2BDE" w:rsidP="002E2BDE">
      <w:pPr>
        <w:pStyle w:val="NormalWeb"/>
        <w:spacing w:before="0" w:beforeAutospacing="0" w:after="0" w:afterAutospacing="0"/>
        <w:jc w:val="both"/>
        <w:rPr>
          <w:color w:val="000000"/>
        </w:rPr>
      </w:pPr>
      <w:r w:rsidRPr="00C760EA">
        <w:rPr>
          <w:color w:val="000000"/>
        </w:rPr>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2E2BDE" w:rsidRDefault="002E2BDE" w:rsidP="002E2BDE">
      <w:pPr>
        <w:shd w:val="clear" w:color="auto" w:fill="FFFFFF"/>
        <w:spacing w:after="0" w:line="240" w:lineRule="auto"/>
        <w:jc w:val="both"/>
        <w:rPr>
          <w:rStyle w:val="head1"/>
          <w:rFonts w:ascii="Times New Roman" w:hAnsi="Times New Roman" w:cs="Times New Roman"/>
          <w:b/>
          <w:bCs/>
          <w:color w:val="000000"/>
          <w:sz w:val="24"/>
          <w:szCs w:val="24"/>
        </w:rPr>
      </w:pPr>
    </w:p>
    <w:p w:rsidR="002E2BDE" w:rsidRDefault="002E2BDE" w:rsidP="002E2BDE">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proofErr w:type="spellStart"/>
      <w:r>
        <w:fldChar w:fldCharType="begin"/>
      </w:r>
      <w:r>
        <w:instrText xml:space="preserve"> HYPERLINK "https://www.rbi.org.in/Scripts/BS_ViewMasDirections.aspx?id=10495" \t "_blank" </w:instrText>
      </w:r>
      <w:r>
        <w:fldChar w:fldCharType="separate"/>
      </w:r>
      <w:r w:rsidRPr="00C760EA">
        <w:rPr>
          <w:rStyle w:val="Hyperlink"/>
          <w:rFonts w:ascii="Times New Roman" w:hAnsi="Times New Roman" w:cs="Times New Roman"/>
          <w:sz w:val="24"/>
          <w:szCs w:val="24"/>
        </w:rPr>
        <w:t>FMRD.Master</w:t>
      </w:r>
      <w:proofErr w:type="spellEnd"/>
      <w:r w:rsidRPr="00C760EA">
        <w:rPr>
          <w:rStyle w:val="Hyperlink"/>
          <w:rFonts w:ascii="Times New Roman" w:hAnsi="Times New Roman" w:cs="Times New Roman"/>
          <w:sz w:val="24"/>
          <w:szCs w:val="24"/>
        </w:rPr>
        <w:t xml:space="preserve"> Direction No. 2/2016-17 dated July 07, 2016</w:t>
      </w:r>
      <w:r>
        <w:rPr>
          <w:rStyle w:val="Hyperlink"/>
          <w:rFonts w:ascii="Times New Roman" w:hAnsi="Times New Roman" w:cs="Times New Roman"/>
          <w:sz w:val="24"/>
          <w:szCs w:val="24"/>
        </w:rPr>
        <w:fldChar w:fldCharType="end"/>
      </w:r>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2E2BDE" w:rsidRPr="00C760EA" w:rsidRDefault="002E2BDE" w:rsidP="002E2BDE">
      <w:pPr>
        <w:shd w:val="clear" w:color="auto" w:fill="FFFFFF"/>
        <w:spacing w:after="0" w:line="240" w:lineRule="auto"/>
        <w:jc w:val="both"/>
        <w:rPr>
          <w:rFonts w:ascii="Times New Roman" w:hAnsi="Times New Roman" w:cs="Times New Roman"/>
          <w:color w:val="000000"/>
          <w:sz w:val="24"/>
          <w:szCs w:val="24"/>
        </w:rPr>
      </w:pPr>
    </w:p>
    <w:p w:rsidR="002E2BDE" w:rsidRPr="00C760EA" w:rsidRDefault="00E917D6" w:rsidP="002E2BDE">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34" w:history="1">
        <w:r w:rsidR="002E2BDE" w:rsidRPr="00C760EA">
          <w:rPr>
            <w:rStyle w:val="Hyperlink"/>
            <w:rFonts w:ascii="Times New Roman" w:hAnsi="Times New Roman" w:cs="Times New Roman"/>
            <w:sz w:val="24"/>
            <w:szCs w:val="24"/>
          </w:rPr>
          <w:t>https://www.rbi.org.in/Scripts/NotificationUser.aspx?Id=12108&amp;Mode=0</w:t>
        </w:r>
      </w:hyperlink>
    </w:p>
    <w:p w:rsidR="002E2BDE" w:rsidRDefault="002E2BDE"/>
    <w:p w:rsidR="002E2BDE" w:rsidRPr="00C760EA" w:rsidRDefault="002E2BDE" w:rsidP="002E2BDE">
      <w:pPr>
        <w:pStyle w:val="NormalWeb"/>
        <w:shd w:val="clear" w:color="auto" w:fill="FFFFFF"/>
        <w:spacing w:before="0" w:beforeAutospacing="0" w:after="0" w:afterAutospacing="0"/>
        <w:jc w:val="both"/>
        <w:rPr>
          <w:b/>
          <w:bCs/>
          <w:color w:val="000000"/>
        </w:rPr>
      </w:pPr>
      <w:r w:rsidRPr="00C760EA">
        <w:rPr>
          <w:b/>
          <w:bCs/>
          <w:color w:val="000000"/>
        </w:rPr>
        <w:t>Payment of margins for transactions in Government Securities by Foreign Portfolio Investors</w:t>
      </w:r>
    </w:p>
    <w:p w:rsidR="002E2BDE" w:rsidRPr="00C760EA" w:rsidRDefault="002E2BDE" w:rsidP="002E2BDE">
      <w:pPr>
        <w:pStyle w:val="NormalWeb"/>
        <w:shd w:val="clear" w:color="auto" w:fill="FFFFFF"/>
        <w:spacing w:before="0" w:beforeAutospacing="0" w:after="0" w:afterAutospacing="0"/>
        <w:jc w:val="both"/>
        <w:rPr>
          <w:b/>
          <w:bCs/>
          <w:color w:val="000000"/>
        </w:rPr>
      </w:pPr>
    </w:p>
    <w:p w:rsidR="002E2BDE" w:rsidRPr="00762028" w:rsidRDefault="002E2BDE" w:rsidP="002E2BDE">
      <w:pPr>
        <w:pStyle w:val="NormalWeb"/>
        <w:shd w:val="clear" w:color="auto" w:fill="FFFFFF"/>
        <w:spacing w:before="0" w:beforeAutospacing="0" w:after="0" w:afterAutospacing="0"/>
        <w:jc w:val="both"/>
        <w:rPr>
          <w:b/>
          <w:color w:val="000000"/>
        </w:rPr>
      </w:pPr>
      <w:r w:rsidRPr="00762028">
        <w:rPr>
          <w:b/>
          <w:color w:val="000000"/>
        </w:rPr>
        <w:t xml:space="preserve">RBI/2021-22/48 A.P. (DIR Series) Circular No.06 </w:t>
      </w:r>
      <w:r w:rsidRPr="00762028">
        <w:rPr>
          <w:b/>
          <w:color w:val="000000"/>
        </w:rPr>
        <w:tab/>
      </w:r>
      <w:r w:rsidRPr="00762028">
        <w:rPr>
          <w:b/>
          <w:color w:val="000000"/>
        </w:rPr>
        <w:tab/>
      </w:r>
      <w:r w:rsidRPr="00762028">
        <w:rPr>
          <w:b/>
          <w:color w:val="000000"/>
        </w:rPr>
        <w:tab/>
        <w:t>June 4, 2021</w:t>
      </w:r>
    </w:p>
    <w:p w:rsidR="002E2BDE" w:rsidRPr="00762028" w:rsidRDefault="002E2BDE" w:rsidP="002E2BDE">
      <w:pPr>
        <w:pStyle w:val="NormalWeb"/>
        <w:shd w:val="clear" w:color="auto" w:fill="FFFFFF"/>
        <w:spacing w:before="0" w:beforeAutospacing="0" w:after="0" w:afterAutospacing="0"/>
        <w:jc w:val="both"/>
        <w:rPr>
          <w:i/>
          <w:color w:val="000000"/>
        </w:rPr>
      </w:pPr>
      <w:r w:rsidRPr="00C760EA">
        <w:rPr>
          <w:color w:val="000000"/>
        </w:rPr>
        <w:lastRenderedPageBreak/>
        <w:br/>
      </w:r>
      <w:r w:rsidRPr="00762028">
        <w:rPr>
          <w:i/>
          <w:color w:val="000000"/>
        </w:rPr>
        <w:t>All Authorised Persons</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Please refer to Paragraph 4 of the </w:t>
      </w:r>
      <w:hyperlink r:id="rId35" w:tgtFrame="_blank" w:history="1">
        <w:r w:rsidRPr="00C760EA">
          <w:rPr>
            <w:rStyle w:val="Hyperlink"/>
          </w:rPr>
          <w:t>Statement on Developmental and Regulatory Policies</w:t>
        </w:r>
      </w:hyperlink>
      <w:r w:rsidRPr="00C760EA">
        <w:rPr>
          <w:color w:val="000000"/>
        </w:rPr>
        <w:t>, issued as a part of the </w:t>
      </w:r>
      <w:hyperlink r:id="rId36" w:tgtFrame="_blank" w:history="1">
        <w:r w:rsidRPr="00C760EA">
          <w:rPr>
            <w:rStyle w:val="Hyperlink"/>
          </w:rPr>
          <w:t>second Bi-monthly Monetary Policy Statement for 2021-22 dated June 04, 2021</w:t>
        </w:r>
      </w:hyperlink>
      <w:r w:rsidRPr="00C760EA">
        <w:rPr>
          <w:color w:val="000000"/>
        </w:rPr>
        <w:t> regarding placement of margins for Government securities transactions on behalf of Foreign Portfolio Investors (FPIs). Attention is also invited to the Foreign Exchange Management (Borrowing and Lending) Regulations, 2018 notified, vide </w:t>
      </w:r>
      <w:hyperlink r:id="rId37" w:tgtFrame="_blank" w:history="1">
        <w:r w:rsidRPr="00C760EA">
          <w:rPr>
            <w:rStyle w:val="Hyperlink"/>
          </w:rPr>
          <w:t>Notification No. FEMA 3(R)/2018-RB dated December 17, 2018</w:t>
        </w:r>
      </w:hyperlink>
      <w:r w:rsidRPr="00C760EA">
        <w:rPr>
          <w:color w:val="000000"/>
        </w:rPr>
        <w:t>, as amended from time to time, and the relevant directions issued thereunder.</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2. All transactions in government securities concluded outside the recognized stock exchanges are settled on a guaranteed basis by the Clearing Corporation of India Ltd. (CCIL) which acts as the central counter party. Based on requests received, it has been decided to allow banks in India having an Authorised Dealer Category-1 licence under FEMA, 1999 to lend to FPIs in accordance with their credit risk management frameworks for the purpose of placing margins with CCIL in respect of settlement of transactions involving Government Securities (including Treasury Bills and State Development Loans) by the FPIs.</w:t>
      </w: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Necessary amendments to Foreign Exchange Management (Borrowing and Lending) Regulations, 2018 have been carried out, vide </w:t>
      </w:r>
      <w:hyperlink r:id="rId38" w:tgtFrame="_blank" w:history="1">
        <w:r w:rsidRPr="00C760EA">
          <w:rPr>
            <w:rStyle w:val="Hyperlink"/>
          </w:rPr>
          <w:t>Notification No. FEMA 3(R)2/2021-RB dated May 24, 2021</w:t>
        </w:r>
      </w:hyperlink>
      <w:r w:rsidRPr="00C760EA">
        <w:rPr>
          <w:color w:val="000000"/>
        </w:rPr>
        <w:t>.</w:t>
      </w: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4. These Directions shall be applicable with immediate effect.</w:t>
      </w:r>
    </w:p>
    <w:p w:rsidR="002E2BDE" w:rsidRPr="00C760EA" w:rsidRDefault="002E2BDE" w:rsidP="002E2BDE">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5. The Directions contained in this circular have been issued under sections 10(4) and 11(1) of the Foreign Exchange Management Act, 1999 (42 of 1999) and are without prejudice to permissions/ approvals, if any, required under any other law.</w:t>
      </w:r>
    </w:p>
    <w:p w:rsidR="002E2BDE" w:rsidRDefault="002E2BDE"/>
    <w:p w:rsidR="002E2BDE" w:rsidRDefault="002E2BDE"/>
    <w:p w:rsidR="002E2BDE" w:rsidRPr="00F74A17" w:rsidRDefault="002E2BDE" w:rsidP="002E2BDE">
      <w:pPr>
        <w:pStyle w:val="head"/>
        <w:shd w:val="clear" w:color="auto" w:fill="FFFFFF"/>
        <w:jc w:val="both"/>
        <w:rPr>
          <w:b/>
          <w:bCs/>
          <w:color w:val="000000"/>
          <w:sz w:val="22"/>
          <w:szCs w:val="20"/>
        </w:rPr>
      </w:pPr>
      <w:r w:rsidRPr="00F74A17">
        <w:rPr>
          <w:b/>
          <w:bCs/>
          <w:color w:val="000000"/>
          <w:sz w:val="22"/>
          <w:szCs w:val="20"/>
        </w:rPr>
        <w:t>Investment by Foreign Portfolio Investors (FPI) in Government Securities: Medium Term Framework (MTF)</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Attention of Authorised Dealer Category-I (AD Category-I) banks is invited to Schedule 1 to the Foreign Exchange Management (Debt Instruments) Regulations, 2019 notified, vide </w:t>
      </w:r>
      <w:hyperlink r:id="rId39" w:tgtFrame="_blank" w:history="1">
        <w:r w:rsidRPr="00F74A17">
          <w:rPr>
            <w:rStyle w:val="Hyperlink"/>
            <w:sz w:val="22"/>
            <w:szCs w:val="20"/>
          </w:rPr>
          <w:t>Notification No. FEMA. 396/2019-RB dated October 17, 2019</w:t>
        </w:r>
      </w:hyperlink>
      <w:r w:rsidRPr="00F74A17">
        <w:rPr>
          <w:color w:val="000000"/>
          <w:sz w:val="22"/>
          <w:szCs w:val="20"/>
        </w:rPr>
        <w:t>, as amended from time to time and the relevant directions issued thereunder.</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2. A reference is also invited to the following directions issued by the Reserve Bank:</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a) </w:t>
      </w:r>
      <w:hyperlink r:id="rId40" w:tgtFrame="_blank" w:history="1">
        <w:r w:rsidRPr="00F74A17">
          <w:rPr>
            <w:rStyle w:val="Hyperlink"/>
            <w:sz w:val="22"/>
            <w:szCs w:val="20"/>
          </w:rPr>
          <w:t>A.P. (DIR Series) Circular No. 25 dated March 30, 2020</w:t>
        </w:r>
      </w:hyperlink>
      <w:r w:rsidRPr="00F74A17">
        <w:rPr>
          <w:color w:val="000000"/>
          <w:sz w:val="22"/>
          <w:szCs w:val="20"/>
        </w:rPr>
        <w:t>;</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b) </w:t>
      </w:r>
      <w:hyperlink r:id="rId41" w:tgtFrame="_blank" w:history="1">
        <w:r w:rsidRPr="00F74A17">
          <w:rPr>
            <w:rStyle w:val="Hyperlink"/>
            <w:sz w:val="22"/>
            <w:szCs w:val="20"/>
          </w:rPr>
          <w:t>Circular No. FMRD.FMSD.No.25/14.01.006/2019-20 dated March 30, 2020</w:t>
        </w:r>
      </w:hyperlink>
      <w:r w:rsidRPr="00F74A17">
        <w:rPr>
          <w:color w:val="000000"/>
          <w:sz w:val="22"/>
          <w:szCs w:val="20"/>
        </w:rPr>
        <w:t>;</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c) </w:t>
      </w:r>
      <w:hyperlink r:id="rId42" w:tgtFrame="_blank" w:history="1">
        <w:r w:rsidRPr="00F74A17">
          <w:rPr>
            <w:rStyle w:val="Hyperlink"/>
            <w:sz w:val="22"/>
            <w:szCs w:val="20"/>
          </w:rPr>
          <w:t>A.P. (DIR Series) Circular No. 30 dated April 15, 2020</w:t>
        </w:r>
      </w:hyperlink>
      <w:r w:rsidRPr="00F74A17">
        <w:rPr>
          <w:color w:val="000000"/>
          <w:sz w:val="22"/>
          <w:szCs w:val="20"/>
        </w:rPr>
        <w:t>; and</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d) </w:t>
      </w:r>
      <w:hyperlink r:id="rId43" w:tgtFrame="_blank" w:history="1">
        <w:r w:rsidRPr="00F74A17">
          <w:rPr>
            <w:rStyle w:val="Hyperlink"/>
            <w:sz w:val="22"/>
            <w:szCs w:val="20"/>
          </w:rPr>
          <w:t>A.P. (DIR Series) Circular No. 14 dated March 31, 2021</w:t>
        </w:r>
      </w:hyperlink>
      <w:r w:rsidRPr="00F74A17">
        <w:rPr>
          <w:color w:val="000000"/>
          <w:sz w:val="22"/>
          <w:szCs w:val="20"/>
        </w:rPr>
        <w:t>.</w:t>
      </w:r>
    </w:p>
    <w:p w:rsidR="002E2BDE" w:rsidRPr="00F74A17" w:rsidRDefault="002E2BDE" w:rsidP="002E2BDE">
      <w:pPr>
        <w:pStyle w:val="head"/>
        <w:shd w:val="clear" w:color="auto" w:fill="FFFFFF"/>
        <w:jc w:val="both"/>
        <w:rPr>
          <w:b/>
          <w:bCs/>
          <w:color w:val="000000"/>
          <w:sz w:val="22"/>
          <w:szCs w:val="20"/>
        </w:rPr>
      </w:pPr>
      <w:r w:rsidRPr="00F74A17">
        <w:rPr>
          <w:b/>
          <w:bCs/>
          <w:color w:val="000000"/>
          <w:sz w:val="22"/>
          <w:szCs w:val="20"/>
        </w:rPr>
        <w:t>3. Investment Limits for FY 2021-22</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The limits for FPI investment in Government securities (G-secs) and State Development Loans (SDLs) shall remain unchanged at 6% and 2% respectively, of outstanding stocks of securities for FY 2021-22.</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lastRenderedPageBreak/>
        <w:t>As hitherto, all investments by eligible investors in the ‘specified securities’ shall be reckoned under the Fully Accessible Route (FAR) in terms of </w:t>
      </w:r>
      <w:hyperlink r:id="rId44" w:tgtFrame="_blank" w:history="1">
        <w:r w:rsidRPr="00F74A17">
          <w:rPr>
            <w:rStyle w:val="Hyperlink"/>
            <w:sz w:val="22"/>
            <w:szCs w:val="20"/>
          </w:rPr>
          <w:t>A.P. (DIR Series) Circular No. 25 dated March 30, 2020</w:t>
        </w:r>
      </w:hyperlink>
      <w:r w:rsidRPr="00F74A17">
        <w:rPr>
          <w:color w:val="000000"/>
          <w:sz w:val="22"/>
          <w:szCs w:val="20"/>
        </w:rPr>
        <w:t>.</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The allocation of incremental changes in the G-sec limit (in absolute terms) over the two sub-categories – ‘General’ and ‘Long-term’ – shall be retained at 50:50 for FY 2021-22.</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The entire increase in limits for SDLs (in absolute terms) has been added to the ‘General’ sub-category of SDLs.</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4. Accordingly, the revised limits (in absolute terms) for the different categories, including the limits for corporate bonds announced, vide </w:t>
      </w:r>
      <w:hyperlink r:id="rId45" w:tgtFrame="_blank" w:history="1">
        <w:r w:rsidRPr="00F74A17">
          <w:rPr>
            <w:rStyle w:val="Hyperlink"/>
            <w:sz w:val="22"/>
            <w:szCs w:val="20"/>
          </w:rPr>
          <w:t>A.P. (DIR Series) Circular No. 14 dated March 31, 2021</w:t>
        </w:r>
      </w:hyperlink>
      <w:r w:rsidRPr="00F74A17">
        <w:rPr>
          <w:color w:val="000000"/>
          <w:sz w:val="22"/>
          <w:szCs w:val="20"/>
        </w:rPr>
        <w:t>, shall be as under (Table 1):</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338"/>
        <w:gridCol w:w="860"/>
        <w:gridCol w:w="860"/>
        <w:gridCol w:w="848"/>
        <w:gridCol w:w="616"/>
        <w:gridCol w:w="1068"/>
        <w:gridCol w:w="970"/>
      </w:tblGrid>
      <w:tr w:rsidR="002E2BDE" w:rsidRPr="00F74A17" w:rsidTr="002E2BDE">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Table - 1: Investment limits for FY 2021-22</w:t>
            </w:r>
          </w:p>
        </w:tc>
      </w:tr>
      <w:tr w:rsidR="002E2BDE" w:rsidRPr="00F74A17" w:rsidTr="002E2BDE">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all figures in ₹ Crore</w:t>
            </w:r>
          </w:p>
        </w:tc>
      </w:tr>
      <w:tr w:rsidR="002E2BDE" w:rsidRPr="00F74A17" w:rsidTr="002E2BDE">
        <w:trPr>
          <w:jc w:val="center"/>
        </w:trPr>
        <w:tc>
          <w:tcPr>
            <w:tcW w:w="2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 </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G-Sec General</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G-Sec Long Term</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SDL General</w:t>
            </w:r>
          </w:p>
        </w:tc>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SDL Long Term</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Corporate Bonds</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Total Debt</w:t>
            </w:r>
          </w:p>
        </w:tc>
      </w:tr>
      <w:tr w:rsidR="002E2BDE" w:rsidRPr="00F74A17" w:rsidTr="002E2BD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rPr>
                <w:rFonts w:ascii="Times New Roman" w:hAnsi="Times New Roman" w:cs="Times New Roman"/>
                <w:color w:val="000000"/>
                <w:szCs w:val="20"/>
              </w:rPr>
            </w:pPr>
            <w:r w:rsidRPr="00F74A17">
              <w:rPr>
                <w:rFonts w:ascii="Times New Roman" w:hAnsi="Times New Roman" w:cs="Times New Roman"/>
                <w:color w:val="000000"/>
                <w:szCs w:val="20"/>
              </w:rPr>
              <w:t>Current FPI limits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2,34,531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1,03,531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67,630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5,41,488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9,54,280</w:t>
            </w:r>
          </w:p>
        </w:tc>
      </w:tr>
      <w:tr w:rsidR="002E2BDE" w:rsidRPr="00F74A17" w:rsidTr="002E2BD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rPr>
                <w:rFonts w:ascii="Times New Roman" w:hAnsi="Times New Roman" w:cs="Times New Roman"/>
                <w:color w:val="000000"/>
                <w:szCs w:val="20"/>
              </w:rPr>
            </w:pPr>
            <w:r w:rsidRPr="00F74A17">
              <w:rPr>
                <w:rFonts w:ascii="Times New Roman" w:hAnsi="Times New Roman" w:cs="Times New Roman"/>
                <w:color w:val="000000"/>
                <w:szCs w:val="20"/>
              </w:rPr>
              <w:t>Revised limit for the HY Apr 2021-Sept 2021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2,43,914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1,12,914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76,766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5,74,263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10,14,957</w:t>
            </w:r>
          </w:p>
        </w:tc>
      </w:tr>
      <w:tr w:rsidR="002E2BDE" w:rsidRPr="00F74A17" w:rsidTr="002E2BD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rPr>
                <w:rFonts w:ascii="Times New Roman" w:hAnsi="Times New Roman" w:cs="Times New Roman"/>
                <w:color w:val="000000"/>
                <w:szCs w:val="20"/>
              </w:rPr>
            </w:pPr>
            <w:r w:rsidRPr="00F74A17">
              <w:rPr>
                <w:rFonts w:ascii="Times New Roman" w:hAnsi="Times New Roman" w:cs="Times New Roman"/>
                <w:color w:val="000000"/>
                <w:szCs w:val="20"/>
              </w:rPr>
              <w:t>Revised limit for the HY Oct 2021-Mar 2022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2,53,298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1,22,298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85,902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6,07,039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10,75,637</w:t>
            </w:r>
          </w:p>
        </w:tc>
      </w:tr>
      <w:tr w:rsidR="002E2BDE" w:rsidRPr="00F74A17" w:rsidTr="002E2BDE">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both"/>
              <w:rPr>
                <w:rFonts w:ascii="Times New Roman" w:hAnsi="Times New Roman" w:cs="Times New Roman"/>
                <w:color w:val="000000"/>
                <w:szCs w:val="20"/>
              </w:rPr>
            </w:pPr>
            <w:r w:rsidRPr="00F74A17">
              <w:rPr>
                <w:rFonts w:ascii="Times New Roman" w:hAnsi="Times New Roman" w:cs="Times New Roman"/>
                <w:color w:val="000000"/>
                <w:szCs w:val="20"/>
              </w:rPr>
              <w:t>^ as on March 31, 2021</w:t>
            </w:r>
          </w:p>
        </w:tc>
      </w:tr>
    </w:tbl>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 xml:space="preserve">5. AD Category – I </w:t>
      </w:r>
      <w:proofErr w:type="gramStart"/>
      <w:r w:rsidRPr="00F74A17">
        <w:rPr>
          <w:color w:val="000000"/>
          <w:sz w:val="22"/>
          <w:szCs w:val="20"/>
        </w:rPr>
        <w:t>banks</w:t>
      </w:r>
      <w:proofErr w:type="gramEnd"/>
      <w:r w:rsidRPr="00F74A17">
        <w:rPr>
          <w:color w:val="000000"/>
          <w:sz w:val="22"/>
          <w:szCs w:val="20"/>
        </w:rPr>
        <w:t xml:space="preserve"> may bring the contents of this circular to the notice of their constituents and customers concerned.</w:t>
      </w:r>
    </w:p>
    <w:p w:rsidR="002E2BDE" w:rsidRDefault="002E2BDE" w:rsidP="002E2BDE">
      <w:pPr>
        <w:pStyle w:val="NormalWeb"/>
        <w:shd w:val="clear" w:color="auto" w:fill="FFFFFF"/>
        <w:jc w:val="both"/>
        <w:rPr>
          <w:color w:val="000000"/>
          <w:sz w:val="22"/>
          <w:szCs w:val="20"/>
        </w:rPr>
      </w:pPr>
      <w:r w:rsidRPr="00F74A17">
        <w:rPr>
          <w:color w:val="000000"/>
          <w:sz w:val="22"/>
          <w:szCs w:val="20"/>
        </w:rPr>
        <w:t>6. The directions contained in this circular have been issued under sections 10(4) and 11(1) of the Foreign Exchange Management Act, 1999 (42 of 1999) and are without prejudice to permissions/approval, if any, required under any other law.</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Sponsor Contribution to an AIF set up in Overseas Jurisdiction, including IFSCs</w:t>
      </w:r>
    </w:p>
    <w:p w:rsidR="00F74A17" w:rsidRDefault="00F74A17" w:rsidP="00F74A17">
      <w:pPr>
        <w:pStyle w:val="NormalWeb"/>
        <w:shd w:val="clear" w:color="auto" w:fill="FFFFFF"/>
        <w:spacing w:before="0" w:beforeAutospacing="0" w:after="0" w:afterAutospacing="0"/>
        <w:jc w:val="both"/>
        <w:rPr>
          <w:b/>
          <w:color w:val="000000"/>
        </w:rPr>
      </w:pPr>
    </w:p>
    <w:p w:rsidR="00F74A17" w:rsidRPr="00BE0E8C" w:rsidRDefault="00F74A17" w:rsidP="00F74A17">
      <w:pPr>
        <w:pStyle w:val="NormalWeb"/>
        <w:shd w:val="clear" w:color="auto" w:fill="FFFFFF"/>
        <w:spacing w:before="0" w:beforeAutospacing="0" w:after="0" w:afterAutospacing="0"/>
        <w:jc w:val="both"/>
        <w:rPr>
          <w:b/>
          <w:color w:val="000000"/>
        </w:rPr>
      </w:pPr>
      <w:r w:rsidRPr="00BE0E8C">
        <w:rPr>
          <w:b/>
          <w:color w:val="000000"/>
        </w:rPr>
        <w:t>RBI/2021-22/38</w:t>
      </w:r>
      <w:r>
        <w:rPr>
          <w:b/>
          <w:color w:val="000000"/>
        </w:rPr>
        <w:t xml:space="preserve"> </w:t>
      </w:r>
      <w:proofErr w:type="gramStart"/>
      <w:r w:rsidRPr="00BE0E8C">
        <w:rPr>
          <w:b/>
          <w:color w:val="000000"/>
        </w:rPr>
        <w:t>A.P.(</w:t>
      </w:r>
      <w:proofErr w:type="gramEnd"/>
      <w:r w:rsidRPr="00BE0E8C">
        <w:rPr>
          <w:b/>
          <w:color w:val="000000"/>
        </w:rPr>
        <w:t>DIR Series) Circular No. 04</w:t>
      </w:r>
      <w:r>
        <w:rPr>
          <w:b/>
          <w:color w:val="000000"/>
        </w:rPr>
        <w:t xml:space="preserve"> </w:t>
      </w:r>
      <w:r>
        <w:rPr>
          <w:b/>
          <w:color w:val="000000"/>
        </w:rPr>
        <w:tab/>
      </w:r>
      <w:r>
        <w:rPr>
          <w:b/>
          <w:color w:val="000000"/>
        </w:rPr>
        <w:tab/>
      </w:r>
      <w:r w:rsidRPr="00BE0E8C">
        <w:rPr>
          <w:b/>
          <w:color w:val="000000"/>
        </w:rPr>
        <w:t>May 12, 2021</w:t>
      </w:r>
    </w:p>
    <w:p w:rsidR="00F74A17" w:rsidRDefault="00F74A17" w:rsidP="00F74A17">
      <w:pPr>
        <w:pStyle w:val="NormalWeb"/>
        <w:shd w:val="clear" w:color="auto" w:fill="FFFFFF"/>
        <w:spacing w:before="0" w:beforeAutospacing="0" w:after="0" w:afterAutospacing="0"/>
        <w:jc w:val="both"/>
        <w:rPr>
          <w:color w:val="000000"/>
        </w:rPr>
      </w:pPr>
    </w:p>
    <w:p w:rsidR="00F74A17" w:rsidRDefault="00F74A17" w:rsidP="00F74A17">
      <w:pPr>
        <w:pStyle w:val="NormalWeb"/>
        <w:shd w:val="clear" w:color="auto" w:fill="FFFFFF"/>
        <w:spacing w:before="0" w:beforeAutospacing="0" w:after="0" w:afterAutospacing="0"/>
        <w:jc w:val="both"/>
        <w:rPr>
          <w:i/>
          <w:color w:val="000000"/>
        </w:rPr>
      </w:pPr>
      <w:r w:rsidRPr="00BE0E8C">
        <w:rPr>
          <w:i/>
          <w:color w:val="000000"/>
        </w:rPr>
        <w:t>All Category-I Authorised Dealer Banks</w:t>
      </w:r>
    </w:p>
    <w:p w:rsidR="00F74A17" w:rsidRPr="00BE0E8C" w:rsidRDefault="00F74A17" w:rsidP="00F74A17">
      <w:pPr>
        <w:pStyle w:val="NormalWeb"/>
        <w:shd w:val="clear" w:color="auto" w:fill="FFFFFF"/>
        <w:spacing w:before="0" w:beforeAutospacing="0" w:after="0" w:afterAutospacing="0"/>
        <w:jc w:val="both"/>
        <w:rPr>
          <w:i/>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AD Category - I banks is invited to paragraph A.3.(e) and B.6 of </w:t>
      </w:r>
      <w:hyperlink r:id="rId46" w:tgtFrame="_blank" w:history="1">
        <w:r w:rsidRPr="00BE0E8C">
          <w:rPr>
            <w:rStyle w:val="Hyperlink"/>
          </w:rPr>
          <w:t>Master Direction No.15 dated January 1, 2016</w:t>
        </w:r>
      </w:hyperlink>
      <w:r w:rsidRPr="00BE0E8C">
        <w:rPr>
          <w:color w:val="000000"/>
        </w:rPr>
        <w:t>, on “Direct Investment by Residents in Joint Venture (JV) / Wholly Owned Subsidiary (WOS) Abroad”, as amended from time to time and Regulation 7 of the </w:t>
      </w:r>
      <w:hyperlink r:id="rId47" w:tgtFrame="_blank" w:history="1">
        <w:r w:rsidRPr="00BE0E8C">
          <w:rPr>
            <w:rStyle w:val="Hyperlink"/>
          </w:rPr>
          <w:t>Notification FEMA 120/2004-RB</w:t>
        </w:r>
      </w:hyperlink>
      <w:r w:rsidRPr="00BE0E8C">
        <w:rPr>
          <w:color w:val="000000"/>
        </w:rPr>
        <w:t>, pertaining to provisions for an Indian Party (IP) making investment/ financial commitment in an entity engaged in the financial services sector.</w:t>
      </w:r>
    </w:p>
    <w:p w:rsidR="00F74A17"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 xml:space="preserve">2. It has been decided that any sponsor contribution from a sponsor IP to an Alternative Investment Fund (AIF) set up in an overseas jurisdiction, including International Financial Services Centres (IFSCs) in India, as per the laws of the host jurisdiction, will be treated as </w:t>
      </w:r>
      <w:r w:rsidRPr="00BE0E8C">
        <w:rPr>
          <w:color w:val="000000"/>
        </w:rPr>
        <w:lastRenderedPageBreak/>
        <w:t>Overseas Direct Investment (ODI). Accordingly, IP, as defined in regulation 2(k) of the Notification ibid. can set up AIF in overseas jurisdictions, including IFSCs, under the automatic route provided it complies with Regulation 7 of the </w:t>
      </w:r>
      <w:hyperlink r:id="rId48" w:tgtFrame="_blank" w:history="1">
        <w:r w:rsidRPr="00BE0E8C">
          <w:rPr>
            <w:rStyle w:val="Hyperlink"/>
          </w:rPr>
          <w:t>Notification FEMA 120/2004-RB</w:t>
        </w:r>
      </w:hyperlink>
      <w:r w:rsidRPr="00BE0E8C">
        <w:rPr>
          <w:color w:val="000000"/>
        </w:rPr>
        <w:t>.</w:t>
      </w:r>
    </w:p>
    <w:p w:rsidR="00F74A17"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 xml:space="preserve">3. All the other provisions under the Notification ibid. shall remain unchanged. AD Category - I </w:t>
      </w:r>
      <w:proofErr w:type="gramStart"/>
      <w:r w:rsidRPr="00BE0E8C">
        <w:rPr>
          <w:color w:val="000000"/>
        </w:rPr>
        <w:t>banks</w:t>
      </w:r>
      <w:proofErr w:type="gramEnd"/>
      <w:r w:rsidRPr="00BE0E8C">
        <w:rPr>
          <w:color w:val="000000"/>
        </w:rPr>
        <w:t xml:space="preserve"> may bring the contents of this circular to the notice of their constituents and customers concerned.</w:t>
      </w:r>
    </w:p>
    <w:p w:rsidR="00F74A17"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w:t>
      </w:r>
      <w:hyperlink r:id="rId49" w:tgtFrame="_blank" w:history="1">
        <w:r w:rsidRPr="00BE0E8C">
          <w:rPr>
            <w:rStyle w:val="Hyperlink"/>
          </w:rPr>
          <w:t>Master Direction No. 15 dated January 01, 2016</w:t>
        </w:r>
      </w:hyperlink>
      <w:r w:rsidRPr="00BE0E8C">
        <w:rPr>
          <w:color w:val="000000"/>
        </w:rPr>
        <w:t>, is being updated to reflect the changes.</w:t>
      </w:r>
    </w:p>
    <w:p w:rsidR="00F74A17" w:rsidRDefault="00F74A17" w:rsidP="00F74A17">
      <w:pPr>
        <w:pStyle w:val="NormalWeb"/>
        <w:pBdr>
          <w:bottom w:val="single" w:sz="12" w:space="1" w:color="auto"/>
        </w:pBdr>
        <w:shd w:val="clear" w:color="auto" w:fill="FFFFFF"/>
        <w:spacing w:before="0" w:beforeAutospacing="0" w:after="0" w:afterAutospacing="0"/>
        <w:jc w:val="both"/>
        <w:rPr>
          <w:color w:val="000000"/>
        </w:rPr>
      </w:pPr>
    </w:p>
    <w:p w:rsidR="00F74A17" w:rsidRDefault="00F74A17" w:rsidP="00F74A1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5. The directions contained in this circular have been issued under section 10 (4) and 11(1) of the FEMA and are without prejudice to permissions/approvals, if any, required under any other law.</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Utilisation of Floating Provisions/Counter Cyclical Provisioning Buffer</w:t>
      </w:r>
    </w:p>
    <w:p w:rsidR="00F74A17" w:rsidRPr="00BE0E8C" w:rsidRDefault="00F74A17" w:rsidP="00F74A17">
      <w:pPr>
        <w:pStyle w:val="NormalWeb"/>
        <w:shd w:val="clear" w:color="auto" w:fill="FFFFFF"/>
        <w:spacing w:before="0" w:beforeAutospacing="0" w:after="0" w:afterAutospacing="0"/>
        <w:jc w:val="both"/>
        <w:rPr>
          <w:b/>
          <w:bCs/>
          <w:color w:val="000000"/>
        </w:rPr>
      </w:pP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r w:rsidRPr="00596A95">
        <w:rPr>
          <w:rFonts w:ascii="Times New Roman" w:eastAsia="Times New Roman" w:hAnsi="Times New Roman" w:cs="Times New Roman"/>
          <w:b/>
          <w:color w:val="000000"/>
          <w:sz w:val="24"/>
          <w:szCs w:val="24"/>
          <w:lang w:eastAsia="en-IN"/>
        </w:rPr>
        <w:t>RBI/2021-22/28</w:t>
      </w:r>
      <w:r w:rsidRPr="00BE0E8C">
        <w:rPr>
          <w:rFonts w:ascii="Times New Roman" w:eastAsia="Times New Roman" w:hAnsi="Times New Roman" w:cs="Times New Roman"/>
          <w:b/>
          <w:color w:val="000000"/>
          <w:sz w:val="24"/>
          <w:szCs w:val="24"/>
          <w:lang w:eastAsia="en-IN"/>
        </w:rPr>
        <w:t xml:space="preserve"> </w:t>
      </w:r>
      <w:r w:rsidRPr="00596A95">
        <w:rPr>
          <w:rFonts w:ascii="Times New Roman" w:eastAsia="Times New Roman" w:hAnsi="Times New Roman" w:cs="Times New Roman"/>
          <w:b/>
          <w:color w:val="000000"/>
          <w:sz w:val="24"/>
          <w:szCs w:val="24"/>
          <w:lang w:eastAsia="en-IN"/>
        </w:rPr>
        <w:t>DOR.STR.REC.10/21.04.048/2021-22</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596A95">
        <w:rPr>
          <w:rFonts w:ascii="Times New Roman" w:eastAsia="Times New Roman" w:hAnsi="Times New Roman" w:cs="Times New Roman"/>
          <w:b/>
          <w:color w:val="000000"/>
          <w:sz w:val="24"/>
          <w:szCs w:val="24"/>
          <w:lang w:eastAsia="en-IN"/>
        </w:rPr>
        <w:t>May 5, 2021</w:t>
      </w: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 and Payments Banks)</w:t>
      </w:r>
    </w:p>
    <w:p w:rsidR="00F74A17" w:rsidRPr="00BE0E8C" w:rsidRDefault="00F74A17" w:rsidP="00F74A17">
      <w:pPr>
        <w:spacing w:after="0" w:line="240" w:lineRule="auto"/>
        <w:jc w:val="both"/>
        <w:rPr>
          <w:rFonts w:ascii="Times New Roman" w:hAnsi="Times New Roman" w:cs="Times New Roman"/>
          <w:i/>
          <w:color w:val="000000"/>
          <w:sz w:val="24"/>
          <w:szCs w:val="24"/>
          <w:u w:val="single"/>
          <w:shd w:val="clear" w:color="auto" w:fill="FFFFFF"/>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our </w:t>
      </w:r>
      <w:hyperlink r:id="rId50" w:tgtFrame="_blank" w:history="1">
        <w:r w:rsidRPr="00BE0E8C">
          <w:rPr>
            <w:rStyle w:val="Hyperlink"/>
          </w:rPr>
          <w:t>circular DBOD.No.BP.BC.89/21.04.048/2005-06 dated June 22, 2006</w:t>
        </w:r>
      </w:hyperlink>
      <w:r w:rsidRPr="00BE0E8C">
        <w:rPr>
          <w:color w:val="000000"/>
        </w:rPr>
        <w:t> and </w:t>
      </w:r>
      <w:hyperlink r:id="rId51" w:tgtFrame="_blank" w:history="1">
        <w:r w:rsidRPr="00BE0E8C">
          <w:rPr>
            <w:rStyle w:val="Hyperlink"/>
          </w:rPr>
          <w:t>DBOD.No.BP.BC.68/21.04.048/2006-07 dated March 13, 2007</w:t>
        </w:r>
      </w:hyperlink>
      <w:r w:rsidRPr="00BE0E8C">
        <w:rPr>
          <w:color w:val="000000"/>
        </w:rPr>
        <w:t> on creation, accounting, disclosures and utilisation of floating provisions by banks. Banks may also refer to our </w:t>
      </w:r>
      <w:hyperlink r:id="rId52" w:tgtFrame="_blank" w:history="1">
        <w:r w:rsidRPr="00BE0E8C">
          <w:rPr>
            <w:rStyle w:val="Hyperlink"/>
          </w:rPr>
          <w:t>circular DBOD.No.BP.BC.87/21.04.048/2010-11 dated April 21, 2011</w:t>
        </w:r>
      </w:hyperlink>
      <w:r w:rsidRPr="00BE0E8C">
        <w:rPr>
          <w:color w:val="000000"/>
        </w:rPr>
        <w:t> on creation and utilisation of ‘countercyclical provisioning buffer’, wherein we had advised that the buffer will be allowed to be used by banks for making specific provisions for non-performing assets, inter alia, during periods of system wide downturn, with the prior approval of RBI.</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Accordingly, in terms of our circulars </w:t>
      </w:r>
      <w:hyperlink r:id="rId53" w:tgtFrame="_blank" w:history="1">
        <w:r w:rsidRPr="00BE0E8C">
          <w:rPr>
            <w:rStyle w:val="Hyperlink"/>
          </w:rPr>
          <w:t>DBOD.No.BP.95/21.04.048/2013-14 dated February 7, 2014</w:t>
        </w:r>
      </w:hyperlink>
      <w:r w:rsidRPr="00BE0E8C">
        <w:rPr>
          <w:color w:val="000000"/>
        </w:rPr>
        <w:t> and </w:t>
      </w:r>
      <w:hyperlink r:id="rId54" w:tgtFrame="_blank" w:history="1">
        <w:r w:rsidRPr="00BE0E8C">
          <w:rPr>
            <w:rStyle w:val="Hyperlink"/>
          </w:rPr>
          <w:t>DBR.No.BP.BC.79/21.04.048/2014-15 dated March 30, 2015</w:t>
        </w:r>
      </w:hyperlink>
      <w:r w:rsidRPr="00BE0E8C">
        <w:rPr>
          <w:color w:val="000000"/>
        </w:rPr>
        <w:t xml:space="preserve">, banks were allowed to utilise </w:t>
      </w:r>
      <w:proofErr w:type="spellStart"/>
      <w:r w:rsidRPr="00BE0E8C">
        <w:rPr>
          <w:color w:val="000000"/>
        </w:rPr>
        <w:t>upto</w:t>
      </w:r>
      <w:proofErr w:type="spellEnd"/>
      <w:r w:rsidRPr="00BE0E8C">
        <w:rPr>
          <w:color w:val="000000"/>
        </w:rPr>
        <w:t xml:space="preserve"> 33 per cent and 50 per cent of floating provisions/ countercyclical provisioning buffer held by them as on March 31, 2013 and December 31, 2014 respectively, for making specific provisions for non-performing assets, as per their Board approved policy.</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xml:space="preserve">3. In order to mitigate the adverse impact of COVID 19 related stress on banks, as a measure to enable capital conservation, it has been decided to allow banks to utilise 100 per cent of floating provisions/ countercyclical provisioning buffer held by them as on December 31, 2020 for making specific provisions for non-performing assets with prior approval of their Boards. Such utilisation is permitted with immediate effect and </w:t>
      </w:r>
      <w:proofErr w:type="spellStart"/>
      <w:r w:rsidRPr="00BE0E8C">
        <w:rPr>
          <w:color w:val="000000"/>
        </w:rPr>
        <w:t>upto</w:t>
      </w:r>
      <w:proofErr w:type="spellEnd"/>
      <w:r w:rsidRPr="00BE0E8C">
        <w:rPr>
          <w:color w:val="000000"/>
        </w:rPr>
        <w:t xml:space="preserve"> March 31, 2022.</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Please refer to paragraph 12 of the Governor’s Statement on Developmental and Regulatory Policies dated April 07, 2021. In this connection, attention of Authorized Dealer Category-I </w:t>
      </w:r>
      <w:r w:rsidRPr="00BE0E8C">
        <w:rPr>
          <w:rFonts w:ascii="Times New Roman" w:hAnsi="Times New Roman" w:cs="Times New Roman"/>
          <w:color w:val="000000"/>
          <w:sz w:val="24"/>
          <w:szCs w:val="24"/>
        </w:rPr>
        <w:lastRenderedPageBreak/>
        <w:t>(AD Category-I) banks is invited to paragraph 4.2 of the of Master Direction No.5 dated March 26, 2019, on “External Commercial Borrowings, Trade Credits and Structured Obligations”, in terms of which ECB borrowers are allowed to park ECB proceeds in term deposits with AD Category-I banks in India for a maximum period of 12 months cumulatively.</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F74A17" w:rsidRDefault="00F74A17" w:rsidP="00F74A17">
      <w:pPr>
        <w:pStyle w:val="NormalWeb"/>
        <w:pBdr>
          <w:bottom w:val="single" w:sz="12" w:space="1" w:color="auto"/>
        </w:pBdr>
        <w:shd w:val="clear" w:color="auto" w:fill="FFFFFF"/>
        <w:spacing w:before="0" w:beforeAutospacing="0" w:after="0" w:afterAutospacing="0"/>
        <w:jc w:val="both"/>
      </w:pPr>
    </w:p>
    <w:p w:rsidR="00F74A17" w:rsidRPr="00BE0E8C" w:rsidRDefault="00E917D6" w:rsidP="00F74A17">
      <w:pPr>
        <w:pStyle w:val="NormalWeb"/>
        <w:pBdr>
          <w:bottom w:val="single" w:sz="12" w:space="1" w:color="auto"/>
        </w:pBdr>
        <w:shd w:val="clear" w:color="auto" w:fill="FFFFFF"/>
        <w:spacing w:before="0" w:beforeAutospacing="0" w:after="0" w:afterAutospacing="0"/>
        <w:jc w:val="both"/>
        <w:rPr>
          <w:color w:val="000000"/>
        </w:rPr>
      </w:pPr>
      <w:hyperlink r:id="rId55" w:history="1">
        <w:r w:rsidR="00F74A17" w:rsidRPr="00BE0E8C">
          <w:rPr>
            <w:rStyle w:val="Hyperlink"/>
          </w:rPr>
          <w:t>https://www.rbi.org.in/Scripts/NotificationUser.aspx?Id=12070&amp;Mode=0</w:t>
        </w:r>
      </w:hyperlink>
    </w:p>
    <w:p w:rsidR="00F74A17" w:rsidRDefault="00F74A17" w:rsidP="002E2BDE">
      <w:pPr>
        <w:pStyle w:val="NormalWeb"/>
        <w:shd w:val="clear" w:color="auto" w:fill="FFFFFF"/>
        <w:jc w:val="both"/>
        <w:rPr>
          <w:color w:val="000000"/>
          <w:sz w:val="22"/>
          <w:szCs w:val="20"/>
        </w:rPr>
      </w:pP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Investment by Foreign Portfolio Investors (FPI): Investment limits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RBI/2020-21/116 A.P. (DIR Series) Circular No. 14</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31,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Authorized Persons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Schedule 1 to the Foreign Exchange Management (Debt Instruments) Regulations, 2019 notified vide </w:t>
      </w:r>
      <w:hyperlink r:id="rId56" w:tgtFrame="_blank" w:history="1">
        <w:r w:rsidRPr="00BE0E8C">
          <w:rPr>
            <w:rStyle w:val="Hyperlink"/>
            <w:u w:val="none"/>
          </w:rPr>
          <w:t>Notification No. FEMA.396/2019-RB dated October 17, 2019</w:t>
        </w:r>
      </w:hyperlink>
      <w:r w:rsidRPr="00BE0E8C">
        <w:rPr>
          <w:color w:val="000000"/>
        </w:rPr>
        <w:t>, as amended from time to time and the relevant Directions issued thereunder. A reference is also invited to </w:t>
      </w:r>
      <w:hyperlink r:id="rId57" w:tgtFrame="_blank" w:history="1">
        <w:r w:rsidRPr="00BE0E8C">
          <w:rPr>
            <w:rStyle w:val="Hyperlink"/>
            <w:u w:val="none"/>
          </w:rPr>
          <w:t>A.P. (DIR Series) Circular No. 30 dated April 15, 2020</w:t>
        </w:r>
      </w:hyperlink>
      <w:r w:rsidRPr="00BE0E8C">
        <w:rPr>
          <w:color w:val="000000"/>
        </w:rPr>
        <w:t> on the captioned subject.</w:t>
      </w:r>
    </w:p>
    <w:p w:rsidR="00F74A17" w:rsidRPr="00BE0E8C" w:rsidRDefault="00F74A17" w:rsidP="00F74A17">
      <w:pPr>
        <w:pStyle w:val="head"/>
        <w:shd w:val="clear" w:color="auto" w:fill="FFFFFF"/>
        <w:spacing w:before="0" w:beforeAutospacing="0" w:after="0" w:afterAutospacing="0"/>
        <w:jc w:val="both"/>
        <w:rPr>
          <w:b/>
          <w:bCs/>
          <w:color w:val="000000"/>
        </w:rPr>
      </w:pPr>
    </w:p>
    <w:p w:rsidR="00F74A17" w:rsidRPr="00BE0E8C" w:rsidRDefault="00F74A17" w:rsidP="00F74A17">
      <w:pPr>
        <w:pStyle w:val="head"/>
        <w:shd w:val="clear" w:color="auto" w:fill="FFFFFF"/>
        <w:spacing w:before="0" w:beforeAutospacing="0" w:after="0" w:afterAutospacing="0"/>
        <w:jc w:val="both"/>
        <w:rPr>
          <w:b/>
          <w:bCs/>
          <w:color w:val="000000"/>
        </w:rPr>
      </w:pPr>
      <w:r w:rsidRPr="00BE0E8C">
        <w:rPr>
          <w:b/>
          <w:bCs/>
          <w:color w:val="000000"/>
        </w:rPr>
        <w:t>2. Investment Limits for FY 2021-22</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 The limits for FPI investment in Corporate bonds shall remain unchanged at 15% of outstanding stock of securities for FY 2021-22. Accordingly, the revised limits for FPI investment in corporate bonds, after rounding off, shall be as under (</w:t>
      </w:r>
      <w:hyperlink r:id="rId58" w:anchor="TA1" w:history="1">
        <w:r w:rsidRPr="00BE0E8C">
          <w:rPr>
            <w:rStyle w:val="Hyperlink"/>
            <w:u w:val="none"/>
          </w:rPr>
          <w:t>Table - 1</w:t>
        </w:r>
      </w:hyperlink>
      <w:r w:rsidRPr="00BE0E8C">
        <w:rPr>
          <w:color w:val="000000"/>
        </w:rPr>
        <w:t>)</w:t>
      </w:r>
    </w:p>
    <w:p w:rsidR="00F74A17" w:rsidRPr="00BE0E8C" w:rsidRDefault="00F74A17" w:rsidP="00F74A17">
      <w:pPr>
        <w:pStyle w:val="NormalWeb"/>
        <w:shd w:val="clear" w:color="auto" w:fill="FFFFFF"/>
        <w:spacing w:before="0" w:beforeAutospacing="0" w:after="0" w:afterAutospacing="0"/>
        <w:jc w:val="both"/>
        <w:rPr>
          <w:color w:val="00000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1"/>
        <w:gridCol w:w="2264"/>
      </w:tblGrid>
      <w:tr w:rsidR="00F74A17" w:rsidRPr="00BE0E8C" w:rsidTr="00C20495">
        <w:trPr>
          <w:trHeight w:val="384"/>
          <w:jc w:val="center"/>
        </w:trPr>
        <w:tc>
          <w:tcPr>
            <w:tcW w:w="0" w:type="auto"/>
            <w:gridSpan w:val="2"/>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- 1: Limits for FPI investment in Corporate bonds for FY 2021-22</w:t>
            </w:r>
          </w:p>
        </w:tc>
      </w:tr>
      <w:tr w:rsidR="00F74A17" w:rsidRPr="00BE0E8C" w:rsidTr="00C20495">
        <w:trPr>
          <w:trHeight w:val="384"/>
          <w:jc w:val="center"/>
        </w:trPr>
        <w:tc>
          <w:tcPr>
            <w:tcW w:w="0" w:type="auto"/>
            <w:gridSpan w:val="2"/>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F74A17" w:rsidRPr="00BE0E8C" w:rsidTr="00C20495">
        <w:trPr>
          <w:trHeight w:val="399"/>
          <w:jc w:val="center"/>
        </w:trPr>
        <w:tc>
          <w:tcPr>
            <w:tcW w:w="3650" w:type="pct"/>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Current FPI limit</w:t>
            </w:r>
          </w:p>
        </w:tc>
        <w:tc>
          <w:tcPr>
            <w:tcW w:w="1350" w:type="pct"/>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5,41,488</w:t>
            </w:r>
          </w:p>
        </w:tc>
      </w:tr>
      <w:tr w:rsidR="00F74A17" w:rsidRPr="00BE0E8C" w:rsidTr="00C20495">
        <w:trPr>
          <w:trHeight w:val="384"/>
          <w:jc w:val="center"/>
        </w:trPr>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Apr 2021-Sep 2021</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5,74,263</w:t>
            </w:r>
          </w:p>
        </w:tc>
      </w:tr>
      <w:tr w:rsidR="00F74A17" w:rsidRPr="00BE0E8C" w:rsidTr="00C20495">
        <w:trPr>
          <w:trHeight w:val="384"/>
          <w:jc w:val="center"/>
        </w:trPr>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Oct 2021-Mar 2022</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6,07,039</w:t>
            </w:r>
          </w:p>
        </w:tc>
      </w:tr>
    </w:tbl>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lastRenderedPageBreak/>
        <w:t>b. The revised limits for FPI investment in Central Government securities (G-secs) and State Development Loans (SDLs) for FY 2021-22 will be advised separately. Till such announcement, the current limits (as in </w:t>
      </w:r>
      <w:hyperlink r:id="rId59" w:anchor="TA2" w:history="1">
        <w:r w:rsidRPr="00BE0E8C">
          <w:rPr>
            <w:rStyle w:val="Hyperlink"/>
            <w:u w:val="none"/>
          </w:rPr>
          <w:t>Table - 2</w:t>
        </w:r>
      </w:hyperlink>
      <w:r w:rsidRPr="00BE0E8C">
        <w:rPr>
          <w:color w:val="000000"/>
        </w:rPr>
        <w:t>), shall continue to be applicable.</w:t>
      </w:r>
    </w:p>
    <w:p w:rsidR="00F74A17" w:rsidRPr="00BE0E8C" w:rsidRDefault="00F74A17" w:rsidP="00F74A17">
      <w:pPr>
        <w:pStyle w:val="NormalWeb"/>
        <w:shd w:val="clear" w:color="auto" w:fill="FFFFFF"/>
        <w:spacing w:before="0" w:beforeAutospacing="0" w:after="0" w:afterAutospacing="0"/>
        <w:jc w:val="both"/>
        <w:rPr>
          <w:color w:val="000000"/>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1338"/>
        <w:gridCol w:w="1338"/>
        <w:gridCol w:w="1338"/>
        <w:gridCol w:w="1338"/>
      </w:tblGrid>
      <w:tr w:rsidR="00F74A17" w:rsidRPr="00BE0E8C" w:rsidTr="00C20495">
        <w:trPr>
          <w:trHeight w:val="338"/>
          <w:jc w:val="center"/>
        </w:trPr>
        <w:tc>
          <w:tcPr>
            <w:tcW w:w="0" w:type="auto"/>
            <w:gridSpan w:val="5"/>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- 2: Limits for FPI investments in G-Sec and SDL</w:t>
            </w:r>
          </w:p>
        </w:tc>
      </w:tr>
      <w:tr w:rsidR="00F74A17" w:rsidRPr="00BE0E8C" w:rsidTr="00C20495">
        <w:trPr>
          <w:trHeight w:val="338"/>
          <w:jc w:val="center"/>
        </w:trPr>
        <w:tc>
          <w:tcPr>
            <w:tcW w:w="0" w:type="auto"/>
            <w:gridSpan w:val="5"/>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F74A17" w:rsidRPr="00BE0E8C" w:rsidTr="00C20495">
        <w:trPr>
          <w:trHeight w:val="764"/>
          <w:jc w:val="center"/>
        </w:trPr>
        <w:tc>
          <w:tcPr>
            <w:tcW w:w="1801"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 </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General</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Long Term</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General</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Long Term</w:t>
            </w:r>
          </w:p>
        </w:tc>
      </w:tr>
      <w:tr w:rsidR="00F74A17" w:rsidRPr="00BE0E8C" w:rsidTr="00C20495">
        <w:trPr>
          <w:trHeight w:val="338"/>
          <w:jc w:val="center"/>
        </w:trPr>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FPI investment limits</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2,34,531</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1,03,531</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67,630</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7,100</w:t>
            </w:r>
          </w:p>
        </w:tc>
      </w:tr>
    </w:tbl>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 xml:space="preserve">3. AD Category – I </w:t>
      </w:r>
      <w:proofErr w:type="gramStart"/>
      <w:r w:rsidRPr="00BE0E8C">
        <w:rPr>
          <w:color w:val="000000"/>
        </w:rPr>
        <w:t>banks</w:t>
      </w:r>
      <w:proofErr w:type="gramEnd"/>
      <w:r w:rsidRPr="00BE0E8C">
        <w:rPr>
          <w:color w:val="000000"/>
        </w:rPr>
        <w:t xml:space="preserve"> may bring the contents of this circular to the notice of their constituents and customers concerned.</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Directions contained in this circular have been issued under sections 10(4) and 11(1) of the Foreign Exchange Management Act, 1999 (42 of 1999) and are without prejudice to permissions/approval, if any, required under any other law.</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Bilateral Netting of Qualified Financial Contracts- Amendments to Prudential Guidelines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RBI/2020-21/115 DOR.CAP.51/21.06.201/2020-21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30,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Accordingly, select instructions contained in the following circulars have been modified/ amended appropriately:</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a) </w:t>
      </w:r>
      <w:hyperlink r:id="rId60" w:tgtFrame="_blank" w:history="1">
        <w:r w:rsidRPr="00BE0E8C">
          <w:rPr>
            <w:rStyle w:val="Hyperlink"/>
            <w:u w:val="none"/>
          </w:rPr>
          <w:t>Master Circular DBR.No.BP.BC.1/21.06.201/2015-16 dated July 1, 2015</w:t>
        </w:r>
      </w:hyperlink>
      <w:r w:rsidRPr="00BE0E8C">
        <w:rPr>
          <w:color w:val="000000"/>
        </w:rPr>
        <w:t> on ‘Basel III Capital Regulations’ as provided in </w:t>
      </w:r>
      <w:hyperlink r:id="rId61" w:tgtFrame="_blank" w:history="1">
        <w:r w:rsidRPr="00BE0E8C">
          <w:rPr>
            <w:rStyle w:val="Hyperlink"/>
            <w:u w:val="none"/>
          </w:rPr>
          <w:t>Annex 1</w:t>
        </w:r>
      </w:hyperlink>
      <w:r w:rsidRPr="00BE0E8C">
        <w:rPr>
          <w:color w:val="000000"/>
        </w:rPr>
        <w:t>;</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b) </w:t>
      </w:r>
      <w:hyperlink r:id="rId62" w:tgtFrame="_blank" w:history="1">
        <w:r w:rsidRPr="00BE0E8C">
          <w:rPr>
            <w:rStyle w:val="Hyperlink"/>
            <w:u w:val="none"/>
          </w:rPr>
          <w:t>Circular DBR.BP.BC.No.106/21.04.098/2017-18 dated May 17, 2018</w:t>
        </w:r>
      </w:hyperlink>
      <w:r w:rsidRPr="00BE0E8C">
        <w:rPr>
          <w:color w:val="000000"/>
        </w:rPr>
        <w:t> on ‘Basel III Framework on Liquidity Standards – Net Stable Funding Ratio (NSFR) – Final Guidelines’ as provided in </w:t>
      </w:r>
      <w:hyperlink r:id="rId63" w:tgtFrame="_blank" w:history="1">
        <w:r w:rsidRPr="00BE0E8C">
          <w:rPr>
            <w:rStyle w:val="Hyperlink"/>
            <w:u w:val="none"/>
          </w:rPr>
          <w:t>Annex 2</w:t>
        </w:r>
      </w:hyperlink>
      <w:r w:rsidRPr="00BE0E8C">
        <w:rPr>
          <w:color w:val="000000"/>
        </w:rPr>
        <w:t>;</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c) </w:t>
      </w:r>
      <w:hyperlink r:id="rId64" w:tgtFrame="_blank" w:history="1">
        <w:r w:rsidRPr="00BE0E8C">
          <w:rPr>
            <w:rStyle w:val="Hyperlink"/>
            <w:u w:val="none"/>
          </w:rPr>
          <w:t>Master Circular DBR.No.BP.BC.2/21.04.048/2015-16 dated July 1, 2015</w:t>
        </w:r>
      </w:hyperlink>
      <w:r w:rsidRPr="00BE0E8C">
        <w:rPr>
          <w:color w:val="000000"/>
        </w:rPr>
        <w:t> on ‘Prudential norms on Income Recognition, Asset Classification and Provisioning pertaining to Advances’ as provided in </w:t>
      </w:r>
      <w:hyperlink r:id="rId65" w:tgtFrame="_blank" w:history="1">
        <w:r w:rsidRPr="00BE0E8C">
          <w:rPr>
            <w:rStyle w:val="Hyperlink"/>
            <w:u w:val="none"/>
          </w:rPr>
          <w:t>Annex 3</w:t>
        </w:r>
      </w:hyperlink>
      <w:r w:rsidRPr="00BE0E8C">
        <w:rPr>
          <w:color w:val="000000"/>
        </w:rPr>
        <w:t>; and</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d) </w:t>
      </w:r>
      <w:hyperlink r:id="rId66" w:tgtFrame="_blank" w:history="1">
        <w:r w:rsidRPr="00BE0E8C">
          <w:rPr>
            <w:rStyle w:val="Hyperlink"/>
            <w:u w:val="none"/>
          </w:rPr>
          <w:t>Master Circular DBR.No.BP.BC.4./21.06.001/2015-16 dated July 1, 2015</w:t>
        </w:r>
      </w:hyperlink>
      <w:r w:rsidRPr="00BE0E8C">
        <w:rPr>
          <w:color w:val="000000"/>
        </w:rPr>
        <w:t> on Prudential Guidelines on Capital Adequacy and Market Discipline-New Capital Adequacy Framework (NCAF) as provided in </w:t>
      </w:r>
      <w:hyperlink r:id="rId67" w:tgtFrame="_blank" w:history="1">
        <w:r w:rsidRPr="00BE0E8C">
          <w:rPr>
            <w:rStyle w:val="Hyperlink"/>
            <w:u w:val="none"/>
          </w:rPr>
          <w:t>Annex 4</w:t>
        </w:r>
      </w:hyperlink>
      <w:r w:rsidRPr="00BE0E8C">
        <w:rPr>
          <w:color w:val="000000"/>
        </w:rPr>
        <w:t>.</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The revised instructions come into force with immediate effect.</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lastRenderedPageBreak/>
        <w:t>FETERS – Cards: Monthly Reporting</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F74A17" w:rsidRPr="00BE0E8C" w:rsidRDefault="00F74A17" w:rsidP="00F74A17">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68" w:tgtFrame="_blank" w:history="1">
        <w:r w:rsidRPr="00BE0E8C">
          <w:rPr>
            <w:rStyle w:val="Hyperlink"/>
            <w:u w:val="none"/>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69" w:tgtFrame="_blank" w:history="1">
        <w:r w:rsidRPr="00BE0E8C">
          <w:rPr>
            <w:rStyle w:val="Hyperlink"/>
            <w:u w:val="none"/>
          </w:rPr>
          <w:t>https://bop.rbi.org.in</w:t>
        </w:r>
      </w:hyperlink>
      <w:r w:rsidRPr="00BE0E8C">
        <w:rPr>
          <w:color w:val="000000"/>
        </w:rPr>
        <w:t>).</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F74A17" w:rsidRPr="00BE0E8C" w:rsidRDefault="00F74A17" w:rsidP="00F74A17">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F74A17" w:rsidRPr="00BE0E8C" w:rsidRDefault="00F74A17" w:rsidP="00F74A17">
      <w:pPr>
        <w:pStyle w:val="NormalWeb"/>
        <w:numPr>
          <w:ilvl w:val="0"/>
          <w:numId w:val="11"/>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F74A17" w:rsidRPr="00BE0E8C" w:rsidRDefault="00F74A17" w:rsidP="00F74A17">
      <w:pPr>
        <w:pStyle w:val="NormalWeb"/>
        <w:numPr>
          <w:ilvl w:val="0"/>
          <w:numId w:val="11"/>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F74A17" w:rsidRPr="00BE0E8C" w:rsidRDefault="00F74A17" w:rsidP="00F74A17">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70" w:tgtFrame="_blank" w:history="1">
        <w:r w:rsidRPr="00BE0E8C">
          <w:rPr>
            <w:rStyle w:val="Hyperlink"/>
            <w:u w:val="none"/>
          </w:rPr>
          <w:t>Annex</w:t>
        </w:r>
      </w:hyperlink>
      <w:r w:rsidRPr="00BE0E8C">
        <w:rPr>
          <w:color w:val="000000"/>
        </w:rPr>
        <w:t>):</w:t>
      </w:r>
    </w:p>
    <w:p w:rsidR="00F74A17" w:rsidRPr="00BE0E8C" w:rsidRDefault="00F74A17" w:rsidP="00F74A17">
      <w:pPr>
        <w:pStyle w:val="NormalWeb"/>
        <w:numPr>
          <w:ilvl w:val="0"/>
          <w:numId w:val="12"/>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F74A17" w:rsidRPr="00BE0E8C" w:rsidRDefault="00F74A17" w:rsidP="00F74A17">
      <w:pPr>
        <w:pStyle w:val="NormalWeb"/>
        <w:numPr>
          <w:ilvl w:val="0"/>
          <w:numId w:val="12"/>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F74A17" w:rsidRPr="00BE0E8C" w:rsidRDefault="00F74A17" w:rsidP="00F74A17">
      <w:pPr>
        <w:pStyle w:val="NormalWeb"/>
        <w:shd w:val="clear" w:color="auto" w:fill="FFFFFF"/>
        <w:spacing w:before="0" w:beforeAutospacing="0" w:after="0" w:afterAutospacing="0"/>
        <w:rPr>
          <w:color w:val="000000"/>
        </w:rPr>
      </w:pPr>
    </w:p>
    <w:p w:rsidR="00F74A17" w:rsidRPr="00BE0E8C" w:rsidRDefault="00F74A17" w:rsidP="00F74A17">
      <w:pPr>
        <w:pStyle w:val="NormalWeb"/>
        <w:shd w:val="clear" w:color="auto" w:fill="FFFFFF"/>
        <w:spacing w:before="0" w:beforeAutospacing="0" w:after="0" w:afterAutospacing="0"/>
        <w:rPr>
          <w:color w:val="000000"/>
        </w:rPr>
      </w:pPr>
      <w:r w:rsidRPr="00BE0E8C">
        <w:rPr>
          <w:color w:val="000000"/>
        </w:rPr>
        <w:t xml:space="preserve">3. AD Banks need to report all card transactions (e.g., through </w:t>
      </w:r>
      <w:proofErr w:type="spellStart"/>
      <w:r w:rsidRPr="00BE0E8C">
        <w:rPr>
          <w:color w:val="000000"/>
        </w:rPr>
        <w:t>PoS</w:t>
      </w:r>
      <w:proofErr w:type="spellEnd"/>
      <w:r w:rsidRPr="00BE0E8C">
        <w:rPr>
          <w:color w:val="000000"/>
        </w:rPr>
        <w:t xml:space="preserve"> terminals / e-commerce (online purchase) / for transferring funds to bank accounts).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Data submission by ADs:</w:t>
      </w:r>
    </w:p>
    <w:p w:rsidR="00F74A17" w:rsidRPr="00BE0E8C" w:rsidRDefault="00F74A17" w:rsidP="00F74A17">
      <w:pPr>
        <w:pStyle w:val="NormalWeb"/>
        <w:numPr>
          <w:ilvl w:val="0"/>
          <w:numId w:val="13"/>
        </w:numPr>
        <w:shd w:val="clear" w:color="auto" w:fill="FFFFFF"/>
        <w:spacing w:before="0" w:beforeAutospacing="0" w:after="0" w:afterAutospacing="0"/>
        <w:jc w:val="both"/>
        <w:rPr>
          <w:color w:val="000000"/>
        </w:rPr>
      </w:pPr>
      <w:r w:rsidRPr="00BE0E8C">
        <w:rPr>
          <w:color w:val="000000"/>
        </w:rPr>
        <w:t>ADs shall submit the FETERS-Cards data on the web-portal (</w:t>
      </w:r>
      <w:hyperlink r:id="rId71" w:tgtFrame="_blank" w:history="1">
        <w:r w:rsidRPr="00BE0E8C">
          <w:rPr>
            <w:rStyle w:val="Hyperlink"/>
            <w:u w:val="none"/>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F74A17" w:rsidRPr="00BE0E8C" w:rsidRDefault="00F74A17" w:rsidP="00F74A17">
      <w:pPr>
        <w:pStyle w:val="NormalWeb"/>
        <w:numPr>
          <w:ilvl w:val="0"/>
          <w:numId w:val="13"/>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F74A17" w:rsidRPr="00BE0E8C" w:rsidRDefault="00F74A17" w:rsidP="00F74A17">
      <w:pPr>
        <w:pStyle w:val="NormalWeb"/>
        <w:numPr>
          <w:ilvl w:val="0"/>
          <w:numId w:val="13"/>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72" w:history="1">
        <w:r w:rsidRPr="00BE0E8C">
          <w:rPr>
            <w:rStyle w:val="Hyperlink"/>
            <w:u w:val="none"/>
          </w:rPr>
          <w:t>e-mail</w:t>
        </w:r>
      </w:hyperlink>
      <w:r w:rsidRPr="00BE0E8C">
        <w:rPr>
          <w:color w:val="000000"/>
        </w:rPr>
        <w:t> or contact by phone at 022-26578416 or 022-26571154 (direct).</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5. The directions contained in this circular have been issued under Sections 10(4) and 11(2) of the Foreign Exchange Management Act, 1999 (42 of 1999) and are without prejudice to permissions / approvals, if any, required under any other law.</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lastRenderedPageBreak/>
        <w:t>Large Exposures Framework – Deferment of applicability of limits on non-centrally cleared derivatives exposures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RBI/2020-21/109 DOR.No.CRE.BC.47/21.01.003/2020-21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Small Finance Banks, Payments Banks, Local Area Banks and Regional Rural Banks)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w:t>
      </w:r>
      <w:hyperlink r:id="rId73" w:tgtFrame="_blank" w:history="1">
        <w:r w:rsidRPr="00BE0E8C">
          <w:rPr>
            <w:rStyle w:val="Hyperlink"/>
            <w:u w:val="none"/>
          </w:rPr>
          <w:t>circular No.DOR.No.BP.BC.43/21.01.003/2019-20 dated March 23, 2020</w:t>
        </w:r>
      </w:hyperlink>
      <w:r w:rsidRPr="00BE0E8C">
        <w:rPr>
          <w:color w:val="000000"/>
        </w:rPr>
        <w:t> on Large Exposures Framework (LEF).</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On a review it has been decided that non-centrally cleared derivatives exposures will continue to be outside the purview of exposure limits till September 30, 2021.</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Data Format for Furnishing of Credit Information to Credit Information Companies and other Regulatory Measures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RBI/2020-21/106 DoR.FIN.REC.46/20.16.056/2020-21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12,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excluding Payment Banks, All Primary (Urban) Co-operative Banks/State Co-operative Banks/ District Central Co-operative Banks, All-India Financial Institutions (Exim Bank, NABARD, NHB and SIDBI), All Non-Banking Financial Companies (including Housing Finance Companies) All Credit Information Companies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our </w:t>
      </w:r>
      <w:hyperlink r:id="rId74" w:tgtFrame="_blank" w:history="1">
        <w:r w:rsidRPr="00BE0E8C">
          <w:rPr>
            <w:rStyle w:val="Hyperlink"/>
            <w:u w:val="none"/>
          </w:rPr>
          <w:t>circular DBOD.No.CID.BC.127/20.16.056/2013-14 dated June 27, 2014</w:t>
        </w:r>
      </w:hyperlink>
      <w:r w:rsidRPr="00BE0E8C">
        <w:rPr>
          <w:color w:val="000000"/>
        </w:rPr>
        <w:t> inter alia setting out a Uniform Credit Reporting Format for the purpose of reporting credit information to the Credit Information Companies (CICs).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The Uniform Credit Reporting Format has two Annexes. The Annex-I contains two formats for credit reporting, viz., Consumer Bureau and Commercial Bureau, whereas Annex-II contains credit reporting format for Micro Finance Institution (MFI) segment.</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It has now been decided to modify the aforesaid three formats as under:</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(i) </w:t>
      </w:r>
      <w:r w:rsidRPr="00BE0E8C">
        <w:rPr>
          <w:b/>
          <w:bCs/>
          <w:color w:val="000000"/>
        </w:rPr>
        <w:t>Consumer Bureau:</w:t>
      </w:r>
      <w:r w:rsidRPr="00BE0E8C">
        <w:rPr>
          <w:color w:val="000000"/>
        </w:rPr>
        <w:t> The label of the field ‘Written off and Settled status’ is modified as ‘Credit Facility Status’ and it will also have a new catalogue value, viz., ‘Restructured due to COVID-19’.</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(ii) </w:t>
      </w:r>
      <w:r w:rsidRPr="00BE0E8C">
        <w:rPr>
          <w:b/>
          <w:bCs/>
          <w:color w:val="000000"/>
        </w:rPr>
        <w:t>Commercial Bureau:</w:t>
      </w:r>
      <w:r w:rsidRPr="00BE0E8C">
        <w:rPr>
          <w:color w:val="000000"/>
        </w:rPr>
        <w:t> The existing field ‘Major reasons for restructuring’ will have a new catalogue value, viz., ‘Restructured due to COVID-19’.</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(iii) </w:t>
      </w:r>
      <w:r w:rsidRPr="00BE0E8C">
        <w:rPr>
          <w:b/>
          <w:bCs/>
          <w:color w:val="000000"/>
        </w:rPr>
        <w:t>MFI Bureau:</w:t>
      </w:r>
      <w:r w:rsidRPr="00BE0E8C">
        <w:rPr>
          <w:color w:val="000000"/>
        </w:rPr>
        <w:t> The existing field ‘Account status’ will have a new catalogue value, viz., ‘Restructured due to COVID-19’.</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modifications are being made to enable banks/AIFIs/NBFCs to report the information relating to restructured loans to CICs as envisaged in </w:t>
      </w:r>
      <w:hyperlink r:id="rId75" w:tgtFrame="_blank" w:history="1">
        <w:r w:rsidRPr="00BE0E8C">
          <w:rPr>
            <w:rStyle w:val="Hyperlink"/>
            <w:u w:val="none"/>
          </w:rPr>
          <w:t>circular DOR.No.BP.BC.3/21.04.048/2020-21 dated August 6, 2020</w:t>
        </w:r>
      </w:hyperlink>
      <w:r w:rsidRPr="00BE0E8C">
        <w:rPr>
          <w:color w:val="000000"/>
        </w:rPr>
        <w:t>, on the Resolution Framework for COVID-19 related stress.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lastRenderedPageBreak/>
        <w:t>5. Banks/AIFIs/NBFCs should make necessary modification to their systems and commence reporting the above information to CICs within two months from the date of this circular. CICs shall make necessary modifications to their system to reflect the above changes.</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Investment by Foreign Portfolio Investors (FPI) in Defaulted Bonds – Relaxations</w:t>
      </w:r>
    </w:p>
    <w:p w:rsidR="00F74A17" w:rsidRPr="00BE0E8C" w:rsidRDefault="00F74A17" w:rsidP="00F74A17">
      <w:pPr>
        <w:pStyle w:val="NormalWeb"/>
        <w:shd w:val="clear" w:color="auto" w:fill="FFFFFF"/>
        <w:spacing w:before="0" w:beforeAutospacing="0" w:after="0" w:afterAutospacing="0"/>
        <w:jc w:val="both"/>
        <w:rPr>
          <w:b/>
          <w:color w:val="000000"/>
        </w:rPr>
      </w:pPr>
    </w:p>
    <w:p w:rsidR="00F74A17" w:rsidRPr="00BE0E8C" w:rsidRDefault="00F74A17" w:rsidP="00F74A17">
      <w:pPr>
        <w:pStyle w:val="NormalWeb"/>
        <w:shd w:val="clear" w:color="auto" w:fill="FFFFFF"/>
        <w:spacing w:before="0" w:beforeAutospacing="0" w:after="0" w:afterAutospacing="0"/>
        <w:jc w:val="both"/>
        <w:rPr>
          <w:b/>
          <w:color w:val="000000"/>
        </w:rPr>
      </w:pPr>
      <w:r w:rsidRPr="00BE0E8C">
        <w:rPr>
          <w:b/>
          <w:color w:val="000000"/>
        </w:rPr>
        <w:t>RBI/2020-21/105 A.P. (DIR Series) Circular No. 12</w:t>
      </w:r>
      <w:r w:rsidRPr="00BE0E8C">
        <w:rPr>
          <w:b/>
          <w:color w:val="000000"/>
        </w:rPr>
        <w:tab/>
      </w:r>
      <w:r w:rsidRPr="00BE0E8C">
        <w:rPr>
          <w:b/>
          <w:color w:val="000000"/>
        </w:rPr>
        <w:tab/>
        <w:t xml:space="preserve">         February 26, 2021</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i/>
          <w:color w:val="000000"/>
        </w:rPr>
      </w:pPr>
      <w:r w:rsidRPr="00BE0E8C">
        <w:rPr>
          <w:i/>
          <w:color w:val="000000"/>
        </w:rPr>
        <w:t>All Authorised persons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Foreign Exchange Management (Debt Instruments) Regulations, 2019 notified vide </w:t>
      </w:r>
      <w:hyperlink r:id="rId76" w:tgtFrame="_blank" w:history="1">
        <w:r w:rsidRPr="00BE0E8C">
          <w:rPr>
            <w:rStyle w:val="Hyperlink"/>
            <w:u w:val="none"/>
          </w:rPr>
          <w:t>Notification No. FEMA. 396/2019-RB dated October 17, 2019</w:t>
        </w:r>
      </w:hyperlink>
      <w:r w:rsidRPr="00BE0E8C">
        <w:rPr>
          <w:color w:val="000000"/>
        </w:rPr>
        <w:t>, as amended from time to time, and the relevant directions issued thereunder. A reference is also invited to </w:t>
      </w:r>
      <w:hyperlink r:id="rId77" w:tgtFrame="_blank" w:history="1">
        <w:r w:rsidRPr="00BE0E8C">
          <w:rPr>
            <w:rStyle w:val="Hyperlink"/>
            <w:u w:val="none"/>
          </w:rPr>
          <w:t>A.P. (DIR Series) Circular No. 31 dated November 26, 2015</w:t>
        </w:r>
      </w:hyperlink>
      <w:r w:rsidRPr="00BE0E8C">
        <w:rPr>
          <w:color w:val="000000"/>
        </w:rPr>
        <w:t> wherein FPIs were permitted to acquire NCDs/bonds, which are under default, either fully or partly, in the repayment of principal on maturity or principal instalment in the case of amortising bond, and to </w:t>
      </w:r>
      <w:hyperlink r:id="rId78" w:tgtFrame="_blank" w:history="1">
        <w:r w:rsidRPr="00BE0E8C">
          <w:rPr>
            <w:rStyle w:val="Hyperlink"/>
            <w:u w:val="none"/>
          </w:rPr>
          <w:t>A.P. (DIR Series) Circular No. 31 dated June 15, 2018</w:t>
        </w:r>
      </w:hyperlink>
      <w:r w:rsidRPr="00BE0E8C">
        <w:rPr>
          <w:color w:val="000000"/>
        </w:rPr>
        <w:t> (hereinafter, Directions), as amended from time to time.</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Attention of AD Category-I banks is also invited to para 12 of </w:t>
      </w:r>
      <w:hyperlink r:id="rId79" w:tgtFrame="_blank" w:history="1">
        <w:r w:rsidRPr="00BE0E8C">
          <w:rPr>
            <w:rStyle w:val="Hyperlink"/>
            <w:u w:val="none"/>
          </w:rPr>
          <w:t>Statement on Developmental and Regulatory Policies dated February 05, 2021</w:t>
        </w:r>
      </w:hyperlink>
      <w:r w:rsidRPr="00BE0E8C">
        <w:rPr>
          <w:color w:val="000000"/>
        </w:rPr>
        <w:t>, wherein it was announced that FPI investment in defaulted corporate bonds will be exempted from the short-term limit and the minimum residual maturity requirement under the MTF.</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Currently, FPI investments in corporate bonds are subject to a minimum residual maturity requirement, short-term investment limit (paragraph 4 (b)(ii)) and the investor limit (paragraph 4(f)(i)) in terms of the Directions. However, FPI investments in security receipts and debt instruments issued by Asset Reconstruction Companies and debt instruments issued by an entity under the Corporate Insolvency Resolution Process as per the resolution plan approved by the National Company Law Tribunal under the Insolvency and Bankruptcy Code, 2016 are exempt from these requirements. It has now been decided to exempt investments by FPI in NCDs/bonds which are under default, either fully or partly, in the repayment of principal on maturity or principal instalment in the case of amortising bond from the aforesaid requirements.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updated </w:t>
      </w:r>
      <w:hyperlink r:id="rId80" w:tgtFrame="_blank" w:history="1">
        <w:r w:rsidRPr="00BE0E8C">
          <w:rPr>
            <w:rStyle w:val="Hyperlink"/>
            <w:u w:val="none"/>
          </w:rPr>
          <w:t>Directions</w:t>
        </w:r>
      </w:hyperlink>
      <w:r w:rsidRPr="00BE0E8C">
        <w:rPr>
          <w:color w:val="000000"/>
        </w:rPr>
        <w:t> are attached.</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5. These directions are issued under sections 10(4) and 11(1) of the Foreign Exchange Management Act, 1999 (42 of 1999) and are without prejudice to permissions/ approvals, if any, required under any other law.</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Default="00F74A17" w:rsidP="00F74A17">
      <w:pPr>
        <w:pStyle w:val="NormalWeb"/>
        <w:shd w:val="clear" w:color="auto" w:fill="FFFFFF"/>
        <w:jc w:val="both"/>
        <w:rPr>
          <w:rStyle w:val="Hyperlink"/>
        </w:rPr>
      </w:pPr>
      <w:r w:rsidRPr="00BE0E8C">
        <w:rPr>
          <w:color w:val="000000"/>
        </w:rPr>
        <w:t xml:space="preserve">Updated MD: </w:t>
      </w:r>
      <w:hyperlink r:id="rId81" w:history="1">
        <w:r w:rsidRPr="00BE0E8C">
          <w:rPr>
            <w:rStyle w:val="Hyperlink"/>
          </w:rPr>
          <w:t>https://www.rbi.org.in/Scripts/NotificationUser.aspx?Id=11303&amp;Mode=0</w:t>
        </w:r>
      </w:hyperlink>
    </w:p>
    <w:p w:rsidR="00F74A17" w:rsidRPr="00BE0E8C" w:rsidRDefault="00F74A17" w:rsidP="00F74A17">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Master Direction on Digital Payment Security Controls</w:t>
      </w:r>
    </w:p>
    <w:p w:rsidR="00F74A17" w:rsidRPr="00BE0E8C" w:rsidRDefault="00F74A17" w:rsidP="00F74A17">
      <w:pPr>
        <w:spacing w:after="0" w:line="240" w:lineRule="auto"/>
        <w:jc w:val="both"/>
        <w:rPr>
          <w:rFonts w:ascii="Times New Roman" w:hAnsi="Times New Roman" w:cs="Times New Roman"/>
          <w:b/>
          <w:bCs/>
          <w:color w:val="000000"/>
          <w:sz w:val="24"/>
          <w:szCs w:val="24"/>
        </w:rPr>
      </w:pPr>
    </w:p>
    <w:p w:rsidR="00F74A17" w:rsidRPr="00BE0E8C" w:rsidRDefault="00F74A17" w:rsidP="00F74A17">
      <w:pPr>
        <w:pStyle w:val="NormalWeb"/>
        <w:shd w:val="clear" w:color="auto" w:fill="FFFFFF"/>
        <w:spacing w:before="0" w:beforeAutospacing="0" w:after="0" w:afterAutospacing="0"/>
        <w:jc w:val="both"/>
        <w:rPr>
          <w:b/>
          <w:color w:val="000000"/>
        </w:rPr>
      </w:pPr>
      <w:r w:rsidRPr="00BE0E8C">
        <w:rPr>
          <w:b/>
          <w:color w:val="000000"/>
        </w:rPr>
        <w:t xml:space="preserve">RBI/2020-21/74 </w:t>
      </w:r>
      <w:proofErr w:type="gramStart"/>
      <w:r w:rsidRPr="00BE0E8C">
        <w:rPr>
          <w:b/>
          <w:color w:val="000000"/>
        </w:rPr>
        <w:t>DoS.CO.CSITE.SEC.No.</w:t>
      </w:r>
      <w:proofErr w:type="gramEnd"/>
      <w:r w:rsidRPr="00BE0E8C">
        <w:rPr>
          <w:b/>
          <w:color w:val="000000"/>
        </w:rPr>
        <w:t>1852/31.01.015/2020-21       February 18, 2021</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lastRenderedPageBreak/>
        <w:t>The Chairman/ Managing Director/ Chief Executive Officer, All Scheduled Commercial Banks excluding RRBs/Small Finance Banks/Payments Banks/ Credit Card issuing NBFCs.</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para II (7) of the Statement on Developmental and Regulatory Policies of the Bi-monthly Monetary Policy Statement for 2020-21 dated December 4, 2020 (</w:t>
      </w:r>
      <w:hyperlink r:id="rId82" w:anchor="S1" w:history="1">
        <w:r w:rsidRPr="00BE0E8C">
          <w:rPr>
            <w:rStyle w:val="Hyperlink"/>
            <w:rFonts w:ascii="Times New Roman" w:hAnsi="Times New Roman" w:cs="Times New Roman"/>
            <w:sz w:val="24"/>
            <w:szCs w:val="24"/>
            <w:shd w:val="clear" w:color="auto" w:fill="FFFFFF"/>
          </w:rPr>
          <w:t>extract given below</w:t>
        </w:r>
      </w:hyperlink>
      <w:r w:rsidRPr="00BE0E8C">
        <w:rPr>
          <w:rFonts w:ascii="Times New Roman" w:hAnsi="Times New Roman" w:cs="Times New Roman"/>
          <w:color w:val="000000"/>
          <w:sz w:val="24"/>
          <w:szCs w:val="24"/>
          <w:shd w:val="clear" w:color="auto" w:fill="FFFFFF"/>
        </w:rPr>
        <w:t>). The </w:t>
      </w:r>
      <w:hyperlink r:id="rId83" w:anchor="MD" w:history="1">
        <w:r w:rsidRPr="00BE0E8C">
          <w:rPr>
            <w:rStyle w:val="Hyperlink"/>
            <w:rFonts w:ascii="Times New Roman" w:hAnsi="Times New Roman" w:cs="Times New Roman"/>
            <w:sz w:val="24"/>
            <w:szCs w:val="24"/>
            <w:shd w:val="clear" w:color="auto" w:fill="FFFFFF"/>
          </w:rPr>
          <w:t>Master Direction</w:t>
        </w:r>
      </w:hyperlink>
      <w:r w:rsidRPr="00BE0E8C">
        <w:rPr>
          <w:rFonts w:ascii="Times New Roman" w:hAnsi="Times New Roman" w:cs="Times New Roman"/>
          <w:color w:val="000000"/>
          <w:sz w:val="24"/>
          <w:szCs w:val="24"/>
          <w:shd w:val="clear" w:color="auto" w:fill="FFFFFF"/>
        </w:rPr>
        <w:t> provides necessary guidelines for the regulated entities to set up a robust governance structure and implement common minimum standards of security controls for digital payment products and services.</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sz w:val="24"/>
          <w:szCs w:val="24"/>
          <w:lang w:eastAsia="en-IN"/>
        </w:rPr>
      </w:pPr>
      <w:r w:rsidRPr="00BE0E8C">
        <w:rPr>
          <w:rFonts w:ascii="Times New Roman" w:eastAsia="Times New Roman" w:hAnsi="Times New Roman" w:cs="Times New Roman"/>
          <w:color w:val="000000"/>
          <w:sz w:val="24"/>
          <w:szCs w:val="24"/>
          <w:lang w:eastAsia="en-IN"/>
        </w:rPr>
        <w:t>Going by the pre-eminent role being played by digital payment systems in India, RBI gives highest importance to the security controls around it. Now it is proposed to issue Reserve Bank of India (Digital Payment Security Controls) Directions 2020, for regulated entities to set up a robust governance structure for such systems and implement common minimum standards of security controls for channels like internet, mobile banking, card payments, among others. While the guidelines will be technology and platform agnostic, it will create an enhanced and enabling environment for customers to use digital payment products in more safe and secure manner. Necessary guidelines will be issued separately.</w:t>
      </w:r>
    </w:p>
    <w:p w:rsidR="00F74A17" w:rsidRPr="00BE0E8C" w:rsidRDefault="00F74A17" w:rsidP="00F74A17">
      <w:pPr>
        <w:shd w:val="clear" w:color="auto" w:fill="FFFFFF"/>
        <w:spacing w:after="0" w:line="240" w:lineRule="auto"/>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INTRODUCTION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the Banking Regulation Act, 1949, the Reserve Bank of India Act, 1934 and Payment and Settlement Systems Act, 2007, the Reserve Bank, being satisfied that it is necessary and expedient in the public interest so to do, hereby, issues the directions hereinafter specified.</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PRELIMINARY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w:t>
      </w:r>
    </w:p>
    <w:p w:rsidR="00F74A17" w:rsidRPr="00BE0E8C" w:rsidRDefault="00F74A17" w:rsidP="00F74A1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be called the Reserve Bank of India (Digital Payment Security Controls) directions, 2021.</w:t>
      </w:r>
    </w:p>
    <w:p w:rsidR="00F74A17" w:rsidRPr="00BE0E8C" w:rsidRDefault="00F74A17" w:rsidP="00F74A1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come into effect six months from the day they are placed on the official website of the Reserve Bank of India (RBI). However, in respect of instructions already issued either by Department of Payment and Settlement Systems (DPSS), Department of Regulation (</w:t>
      </w:r>
      <w:proofErr w:type="spellStart"/>
      <w:r w:rsidRPr="00BE0E8C">
        <w:rPr>
          <w:rFonts w:ascii="Times New Roman" w:eastAsia="Times New Roman" w:hAnsi="Times New Roman" w:cs="Times New Roman"/>
          <w:color w:val="000000"/>
          <w:sz w:val="24"/>
          <w:szCs w:val="24"/>
          <w:lang w:eastAsia="en-IN"/>
        </w:rPr>
        <w:t>DoR</w:t>
      </w:r>
      <w:proofErr w:type="spellEnd"/>
      <w:r w:rsidRPr="00BE0E8C">
        <w:rPr>
          <w:rFonts w:ascii="Times New Roman" w:eastAsia="Times New Roman" w:hAnsi="Times New Roman" w:cs="Times New Roman"/>
          <w:color w:val="000000"/>
          <w:sz w:val="24"/>
          <w:szCs w:val="24"/>
          <w:lang w:eastAsia="en-IN"/>
        </w:rPr>
        <w:t>) or Department of Supervision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of RBI including those to select Regulated Entities (REs), by way of circular or advisory, the timeline would be with immediate effect or as per the timelines already prescribed.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Applicability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provisions of these directions shall apply to the following Regulated Entities (REs):</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Scheduled Commercial Banks (excluding Regional Rural Banks);</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Small Finance Banks;</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Payments Banks; and</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Credit card issuing NBFCs.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Definitions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expressions unless defined herein shall have the same meaning as have been assigned to them under the Banking Regulation Act, 1949, Reserve Bank of India Act, 1934, Payment and Settlement Systems Act, 2007 or Information Technology Act, 2000/ Information Technology (Amendment) Act, 2008 and Rules made thereunder, any statutory modification or re-enactment thereto or as used in commercial parlance, as the case may be.</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II</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lastRenderedPageBreak/>
        <w:t>GENERAL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Governance and Management of Security Risks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REs shall formulate a policy for digital payment products and services with the approval of their Board. The contours of the policy, while discussing the parameters of any “new product” including its alignment with the overall business strategy and inherent risk of the product, risk management/ mitigation measures, compliance with regulatory instructions, customer experience, etc., should explicitly discuss about payment security requirements from Functionality, Security and Performance (FSP) angles such as:</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Necessary controls to protect the confidentiality of customer data and integrity of data and processes associated with the digital product/ services offered;</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Availability of requisite infrastructure e.g. human resources, technology, etc. with necessary back up;</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Assurance that the payment product is built in a secure manner offering robust performance ensuring safety, consistency and rolled out after necessary testing for achieving desired FSP;</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Capacity building and expansion with scalability (to meet the growth for efficient transaction processing);</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Minimal customer service disruption with high availability of systems/ channels (to have minimal technical declines);</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Efficient and effective dispute resolution mechanism and handling of customer grievance; and</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Adequate and appropriate review mechanism followed by swift corrective action, in case any one of the above requirements is hampered or having high potential to get hampered.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Board and Senior Management shall be responsible for implementation of this policy. The policy shall be reviewed periodically, at least on a yearly basis. REs may formulate this policy separately for its different digital products or include the same as part of their overall product policy. Further, the policy document should require that every digital payment product/ services offered addresses the mechanics, clear definition of starting point, critical intermittent stages/ points and end point in the digital payment cycle, security aspects, validations till the digital payment is settled, clear pictorial representation of digital path and exception handling. In addition, signing off of the above requirements, mechanism for carrying out User Acceptance Tests (UAT) in multiple stages before roll out, sign off from multiple stakeholders (post UAT) and data archival requirements shall also be taken in to account. The need for an external assessment of the entire process including the logic, build and security aspects of the application(s) supporting the digital product should be clearly articulated.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REs shall incorporate appropriate processes into their governance and risk management programs for identifying, analysing, monitoring and managing the specific risks, including compliance risk and fraud risk, associated with the portfolio of digital payment products and services on a continual basis and in a holistic manner. The Board/ Senior Management of REs shall have appropriate performance monitoring systems/ key performance indicators for assessing whether the product or service offered through digital payment channels meet operational and security norms.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 As part of this process, the REs shall define product-level limits on the level of acceptable security risk, document specific security objectives and performance criteria including quantitative benchmarks for evaluating the success of the security built into the digital payment product or service, periodically compare actual results with projections and qualitative </w:t>
      </w:r>
      <w:r w:rsidRPr="00BE0E8C">
        <w:rPr>
          <w:rFonts w:ascii="Times New Roman" w:eastAsia="Times New Roman" w:hAnsi="Times New Roman" w:cs="Times New Roman"/>
          <w:color w:val="000000"/>
          <w:sz w:val="24"/>
          <w:szCs w:val="24"/>
          <w:lang w:eastAsia="en-IN"/>
        </w:rPr>
        <w:lastRenderedPageBreak/>
        <w:t>benchmarks to detect and address adverse trends or concerns in a timely manner and modify the business plan/ strategy involving the product, when appropriate, based on the security performance of the product or service.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REs shall have trained resources with necessary expertise to manage the digital payment infrastructure. Wherever the REs are dependent on third party service providers, adequate oversight and controls for monitoring the activities of the third party personnel, in line with RBI guidelines on outsourcing, shall be put in place.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 REs shall conduct risk assessments with regard to the safety and security of digital payment products and associated processes and services as well as suitability and appropriateness of the same vis-a-vis the target users, both prior to establishing the service(s) and regularly thereafter. The risk assessment should take into account –</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technology stack and solutions used;</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Known vulnerabilities at each of the touchpoints of the digital product and the remedial action taken by the entity;</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Dependence on third party service providers and oversight over such providers;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Risk arising out of integration of digital payment platform with other systems both internal and external to the RE, including core systems and systems of payment systems operators, etc.;</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customer experience, convenience and technology adoption required to use such products;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Reconciliation process;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Interoperability aspects;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storage, security and privacy protection as per extant laws/ instructions;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Operational risk including fraud risk;</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Business continuity and service availability;</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Compliance with extant cyber security requirements; and</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Compatibility aspects.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Such assessment shall cover the surrounding ecosystem as well. The assessment of risks shall address the need to protect and secure payment data</w:t>
      </w:r>
      <w:hyperlink r:id="rId84"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 and evaluate the resilience of systems. The internal Risk and Control Self-Assessment (RCSA) exercise shall cover the risks (inherent) &amp; controls vis-à-vis the probability and impact of threats to arrive at residual risk. In such an exercise, it is imperative for REs to maintain database of all systems and applications storing customer data in the payment ecosystem and compliance with applicable PCI standards in each of the systems (notwithstanding mandatory requirements of certification/ standard accreditation).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 REs shall evaluate the risks associated with the chosen technology platforms, application architecture, both on the server and client side. Further, REs should undertake a review of the risk scenarios and existing security measures based on incidents affecting their services, before any major change to the infrastructure or procedures is made or, when, any new threats are identified through risk monitoring activities. Further, unused or unwanted features of the platform should be closely controlled to minimise risk.</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 REs shall develop sound internal control systems and take into account the operational risk before offering digital payment products and related services. This would include ensuring that adequate safeguards are in place to protect integrity of data, customer confidentiality and security of data.</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 REs shall ensure that the digital payment architecture is robust and scalable, commensurate with the transaction volumes and customer growth. The IT strategy of the RE shall ensure that a robust capacity management plan is in place to meet evolving demand. REs shall also put in place review mechanism of IT/ IT Security architecture and technology platform overhaul on a periodic basis based on Board-approved policy.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12. REs shall have necessary capacity, systems and procedures in place to periodically test the backed-up data, application pertaining to digital products to ensure recovery without loss of transactions or audit-trails. These facilities should be tested at least on a half-yearly basis for digital payment products and services.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Other Generic Security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13. The communication protocol in the digital payment channels (especially over Internet) shall adhere to a secure standard. An appropriate level of encryption and security shall be implemented in the digital payment ecosystem.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14. Web applications providing the digital payment products and services should not store sensitive information in HTML hidden fields, cookies, or any other client-side storage to avoid any compromise in the integrity of the data.</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15. REs shall implement Web Application Firewall (WAF) solution and </w:t>
      </w:r>
      <w:proofErr w:type="spellStart"/>
      <w:r w:rsidRPr="00BE0E8C">
        <w:rPr>
          <w:rFonts w:ascii="Times New Roman" w:eastAsia="Times New Roman" w:hAnsi="Times New Roman" w:cs="Times New Roman"/>
          <w:color w:val="000000"/>
          <w:sz w:val="24"/>
          <w:szCs w:val="24"/>
          <w:lang w:eastAsia="en-IN"/>
        </w:rPr>
        <w:t>DDoS</w:t>
      </w:r>
      <w:proofErr w:type="spellEnd"/>
      <w:r w:rsidRPr="00BE0E8C">
        <w:rPr>
          <w:rFonts w:ascii="Times New Roman" w:eastAsia="Times New Roman" w:hAnsi="Times New Roman" w:cs="Times New Roman"/>
          <w:color w:val="000000"/>
          <w:sz w:val="24"/>
          <w:szCs w:val="24"/>
          <w:lang w:eastAsia="en-IN"/>
        </w:rPr>
        <w:t xml:space="preserve"> mitigation techniques to secure the digital payment products and services offered over Internet.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16. The key length (for symmetric/ asymmetric encryption, hashing), algorithms (for encryption, signing, exchange of keys, creation of message digest, random number generators), cipher suites, digital certificates and applicable protocols used in transmission channels, processing of data, authentication purpose, shall be strong, adopting internationally accepted and published standards that are not deprecated/ demonstrated to be insecure/ vulnerable and the configurations involved in implementing such controls are in general, compliant with extant instructions and the law of the land.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17. REs shall renew their digital certificates used in digital payment ecosystem well in time.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18. The mobile application</w:t>
      </w:r>
      <w:hyperlink r:id="rId85" w:anchor="F2" w:history="1">
        <w:r w:rsidRPr="00BE0E8C">
          <w:rPr>
            <w:rFonts w:ascii="Times New Roman" w:eastAsia="Times New Roman" w:hAnsi="Times New Roman" w:cs="Times New Roman"/>
            <w:color w:val="0000FF"/>
            <w:sz w:val="24"/>
            <w:szCs w:val="24"/>
            <w:u w:val="single"/>
            <w:vertAlign w:val="superscript"/>
            <w:lang w:eastAsia="en-IN"/>
          </w:rPr>
          <w:t>2</w:t>
        </w:r>
      </w:hyperlink>
      <w:r w:rsidRPr="00BE0E8C">
        <w:rPr>
          <w:rFonts w:ascii="Times New Roman" w:eastAsia="Times New Roman" w:hAnsi="Times New Roman" w:cs="Times New Roman"/>
          <w:color w:val="000000"/>
          <w:sz w:val="24"/>
          <w:szCs w:val="24"/>
          <w:lang w:eastAsia="en-IN"/>
        </w:rPr>
        <w:t> and internet banking application should have effective logging and monitoring capabilities to track user activity, security changes and identify anomalous behaviour and transactions.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Application Security Life Cycle (ASLC)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 REs shall implement multi-tier application architecture, segregating application, database and presentation layer in the digital payment products and services.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 REs shall follow a ‘secure by design’ approach in the development of digital payment products and services. REs shall ensure that digital payment applications are inherently more secure by embedding security within their development lifecycle.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 REs shall explicitly define security objectives (including protection of customer information/ data) during (a) requirements gathering, (b) designing, (c) development, (d) testing including source code review, (e) implementation, maintenance &amp; monitoring and (f) decommissioning phases of the digital payment applications.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22. REs (including those partnering with other entities to co-brand/ co-develop applications) shall adopt and incorporate a threat modelling approach during application lifecycle management into their policies, processes, guidelines and procedures.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23. For digital payment applications that are licensed by a third party vendor, REs shall have an escrow arrangement for the source code for ensuring continuity of services in case the vendor defaults or is unable to provide services.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24. REs shall conduct security testing including review of source code, Vulnerability Assessment (VA) and Penetration Testing (PT) of their digital payment applications to assure that the application is secure for putting through transactions while preserving confidentiality and integrity of the data that is stored and transmitted. Such testing should invariably cover compliance with various standards like OWASP. If the source code is not owned by the RE, then, in such cases, the RE shall obtain a certificate from the application developer stating that the application is free of known vulnerabilities, malwares and any covert channels in the code. </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this context,</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VA shall be conducted at least on a half-yearly basis; PT shall be conducted at least on a yearly basis. In addition, VA/PT shall be conducted as and when any new IT Infrastructure or digital payment application is introduced or when any major change is performed in application or infrastructure;</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related to review of source code/ certification shall be conducted/ obtained. This shall continue on a yearly basis, if changes/ upgrades have been made to the application during the year;</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Certification should broadly address the objective that the product/ version/module(s) functions only in a manner that it is intended to do, is developed as per the best secure design/ coding practices and standards, addressing known flaws/threats due to insecure coding; and</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 provisions shall be included by the RE into third-party contractual arrangements for any non-compliance by the application provider.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25. REs may also run automated VA scanning tools to automatically scan all systems on the network that are critical, public facing or store customer sensitive data on a continuous/ more frequent basis.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26. REs shall compare the results from earlier vulnerability scans to verify/ ascertain that vulnerabilities are addressed either by patching, implementing a compensating control, or documenting and accepting the residual risk with necessary approval and that there is no recurrence of the known vulnerabilities. The identified vulnerabilities should be fixed in a time-bound manner.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27. REs shall ensure that all vulnerability scanning is performed in authenticated mode either with agents running locally on the system to analyse the security configuration or with remote scanners that are given administrative rights on the system being tested.</w:t>
      </w:r>
      <w:hyperlink r:id="rId86" w:anchor="F3" w:history="1">
        <w:r w:rsidRPr="00BE0E8C">
          <w:rPr>
            <w:rFonts w:ascii="Times New Roman" w:eastAsia="Times New Roman" w:hAnsi="Times New Roman" w:cs="Times New Roman"/>
            <w:color w:val="0000FF"/>
            <w:sz w:val="24"/>
            <w:szCs w:val="24"/>
            <w:u w:val="single"/>
            <w:vertAlign w:val="superscript"/>
            <w:lang w:eastAsia="en-IN"/>
          </w:rPr>
          <w:t>3</w:t>
        </w:r>
      </w:hyperlink>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28. REs shall verify and thoroughly test the functionality (to validate whether the system meets the functional requirements/ specifications) and security controls of payment products and services before its launch/ moving to the production environment.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29. REs shall institute a mechanism to actively monitor for the non-genuine/ unauthorised/ malicious applications (with similar name/ features) on popular app-stores and the Web and respond accordingly to bring them down.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 The server at the RE’s end should have adequate checks and balances to ensure that no transaction is carried out through non-genuine/ unauthorised digital payment products/ applications and the authentication process is robust, secure and centralised.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The security controls for digital payment applications must focus on how these applications handle, store and protect payment data. The APIs for secure data storage and communication have to be implemented and used correctly in order to be effective. REs shall refer to standards such as OWASP-MASVS, OWASP-ASVS and other relevant OWASP standards, security and data protection guidelines in ISO 12812, threat catalogues and guides developed by NIST (including for Bluetooth and LTE security), for application security and other protection measures. Such testing has to necessarily verify for vulnerabilities including, but not limited to OWASP/ OWASP Mobile Top 10, application security guidelines/ requirements developed/ shared by operating system providers/ OEMs.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REs shall redact/ mask customer information such as account numbers/ card numbers/ other sensitive information when transmitted via SMS/ e-mails.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Authentication Framework</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33. In view of the proliferation of cyber-attacks and their potential consequences, REs should implement, except where explicitly permitted/ relaxed, multi-factor authentication for payments through electronic modes and fund transfers, including cash withdrawals from ATMs/ micro-ATMs/ business correspondents, through digital payment applications. At least one of the authentication methodologies should be generally dynamic or non-replicable. [e.g., Use of One Time Password, mobile devices (device binding and SIM), biometric/ PKI/ hardware tokens, EMV chip card (for Card Present Transactions) with server-side verification could be termed either in dynamic or non-replicable methodologies.].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34. REs may also adopt adaptive authentication to select the right authentication factors depending on risk assessment, user risk profile and behaviour. Properly designed and implemented multi-factor authentication methods are more reliable and stronger fraud deterrents and are more difficult to compromise. The key objectives of multi-factor authentication are to protect the confidentiality of payment data as well as enhance confidence in digital payment by combating various cyber-attack mechanisms like phishing, keylogging, spyware/ malware and other internet-based frauds targeted at REs and their customers. In this regard,</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implementation of appropriate authentication methodologies should be based on an assessment of the risk posed by the RE’s digital payment products and services. The risk should be evaluated in light of the type of customer (e.g., retail/ corporate/ commercial); the customer transactional requirements/ pattern (e.g., bill payment, fund transfer), the sensitivity of customer information and the volume, value of transactions involved.</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Beyond the technology factor, the success of a particular authentication method depends on appropriate policies, procedures, and controls. An effective authentication method should take into consideration customer acceptance, ease of use, reliable performance, scalability to accommodate growth, customer profile, location, transaction, etc., and interoperability with other systems.</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To enhance online processing security, multi factor authentication and alerts (like SMS, e-mail, etc.) should be applied in respect of all payment transactions (including debits and credits), creation of new account linkages (addition/ modification/ deletion of beneficiaries), changing account details or revision to fund transfer limits. In devising these security features, REs should take into account their efficacy and differing customer preferences for additional online protection.</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alerts and OTPs received by the customer for online transactions shall identify the merchant name, wherever applicable, rather than the payment aggregator through which the transaction was effected.</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an integral part of the multi factor authentication architecture, REs should also implement appropriate measures to minimise exposure to a middleman attack which is more commonly known as a man-in-the-middle attack (MITM), man-in-the browser (MITB) attack or man-in-the application attack. This is to ensure, among other things, that the data in transit is secured and the transactions are authenticated only by genuine/ authorised source/ process.</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authenticated session, together with its encryption protocol, should remain intact throughout the interaction with the customer. Else, in the event of interference or in case the customer closes the application, the session should be terminated, and the affected transactions resolved or reversed out. The customer should be promptly notified about the status of the transaction by email, SMS or through other means.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35. REs should set down the maximum number of failed log-in or authentication attempts after which access to the digital payment product/ service is blocked. They should have a secure procedure in place to re-activate the access to blocked product/ service. The customer shall be notified for failed log-in or authentication attempts.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Fraud Risk Management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36. The REs shall document and implement the configuration aspects for identifying suspicious transactional behaviour in respect of rules, preventive, detective types of controls, mechanism to alert the customers in case of failed authentication, time frame for the same,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37. System alerts shall be parameterised and monitored in terms of various applicable parameters. Such parameters, as applicable could be: transaction velocity (e.g., fund transfers, cash withdrawals, payments through electronic modes, adding new beneficiaries, etc.) in a short period, more so in the accounts of customers who’ve never used mobile app/ internet banking/ card ever (depending upon the type of payment channel), high risk merchant category codes (MCC) parameters, counterfeit card parameters (String of Invalid CVV/ PINs indicates an account generation attack), new account parameters (excessive activity on a new account), time zones, geo-locations, IP address origin (in respect of unusual patterns, prohibited zones/ rogue IPs), behavioural biometrics, transaction origination from point of compromise, transactions to mobile wallets/ mobile numbers/ VPAs on whom vishing fraud or other types of fraud is/are registered/ recorded, declined transactions, transactions with no approval code,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38. Fraud analysis shall be conducted to identify the reason for fraud occurrence and determine mechanism to prevent such frauds.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39. The staff, especially in the fraud control function, shall be educated about frauds and trained in the following skills and areas of expertise:</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Fraud control tools and their usage;</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Investigative techniques and procedures;</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Cardholder and merchant education techniques to prevent fraud;</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Scheme/ Card operating regulations;</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processing and analysis and liaising or communicating with law enforcement agencies; and</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requisite skills required to (i) set and update appropriate rules, (ii) monitor the exceptions thrown based on the rules on a continuous basis and take necessary actions promptly, (iii) communicate/ escalate wherever required to appropriate authorities, and (iv) differentiate false positives from the rest.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 REs shall maintain updated contact details of service providers, intermediaries, external agencies and other stakeholders (including other REs) for coordination in incident response. REs shall put in place a mechanism with the stakeholders to update and verify such contact details. REs shall also formulate specific SOPs to handle incidents related to payment ecosystem to mitigate the loss either to the customer or RE.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Reconciliation Mechanism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A real time/ near-real time (not later than 24 hours from the time of receipt of settlement file(s)) reconciliation framework for all digital payment transactions between RE and all other stakeholders such as payment system operators, business correspondents, card networks, payment system processors, payment aggregators, payment gateways, third party technology service providers, other participants, etc., shall be put in place for better detection and prevention of suspicious transactions. A mechanism shall be introduced to monitor the implementation and effectiveness of such framework.</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xml:space="preserve">Customer Protection, Awareness and Grievance </w:t>
      </w:r>
      <w:proofErr w:type="spellStart"/>
      <w:r w:rsidRPr="00BE0E8C">
        <w:rPr>
          <w:rFonts w:ascii="Times New Roman" w:eastAsia="Times New Roman" w:hAnsi="Times New Roman" w:cs="Times New Roman"/>
          <w:b/>
          <w:bCs/>
          <w:color w:val="000000"/>
          <w:sz w:val="24"/>
          <w:szCs w:val="24"/>
          <w:lang w:eastAsia="en-IN"/>
        </w:rPr>
        <w:t>Redressal</w:t>
      </w:r>
      <w:proofErr w:type="spellEnd"/>
      <w:r w:rsidRPr="00BE0E8C">
        <w:rPr>
          <w:rFonts w:ascii="Times New Roman" w:eastAsia="Times New Roman" w:hAnsi="Times New Roman" w:cs="Times New Roman"/>
          <w:b/>
          <w:bCs/>
          <w:color w:val="000000"/>
          <w:sz w:val="24"/>
          <w:szCs w:val="24"/>
          <w:lang w:eastAsia="en-IN"/>
        </w:rPr>
        <w:t xml:space="preserve"> Mechanism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42. REs shall incorporate secure, safe and responsible usage guidelines and training materials for end users within the digital payment applications. They shall also make it mandatory (i.e. not providing any option to circumvent/ avoid the material) for the consumer to go through secure usage guidelines (even in the consumer’s preferred language) while obtaining and recording confirmation during the on-boarding procedure in the first instance and first use after each update of the digital payment application or after major updates to secure and safe usage guidelines.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43. REs shall mention/ incorporate a section on the digital payment application clearly specifying the process and procedure (with forms/ contact information, etc.) to lodge consumer grievances. A mechanism to keep this information periodically updated shall also be put in place. The reporting facility on the application shall provide an option for registering a grievance. Customer dispute handling, reporting and resolution procedures, including the expected timelines for the RE's response should be clearly defined.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44. REs shall adhere to extant instructions</w:t>
      </w:r>
      <w:hyperlink r:id="rId87" w:anchor="F4" w:history="1">
        <w:r w:rsidRPr="00BE0E8C">
          <w:rPr>
            <w:rFonts w:ascii="Times New Roman" w:eastAsia="Times New Roman" w:hAnsi="Times New Roman" w:cs="Times New Roman"/>
            <w:color w:val="0000FF"/>
            <w:sz w:val="24"/>
            <w:szCs w:val="24"/>
            <w:u w:val="single"/>
            <w:vertAlign w:val="superscript"/>
            <w:lang w:eastAsia="en-IN"/>
          </w:rPr>
          <w:t>4</w:t>
        </w:r>
      </w:hyperlink>
      <w:r w:rsidRPr="00BE0E8C">
        <w:rPr>
          <w:rFonts w:ascii="Times New Roman" w:eastAsia="Times New Roman" w:hAnsi="Times New Roman" w:cs="Times New Roman"/>
          <w:color w:val="000000"/>
          <w:sz w:val="24"/>
          <w:szCs w:val="24"/>
          <w:lang w:eastAsia="en-IN"/>
        </w:rPr>
        <w:t>, updated from time to time, to put in place system/s for online dispute resolution for resolving disputes and grievances of customers pertaining to digital payments.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45. REs shall educate customers about the need to maintain the physical and logical security of their devices accessing digital payment products and services including recommending secure/ regular installation of operating system and application updates, downloading applications only from authorised sources, having anti-malware/ anti-virus applications on devices,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46. REs shall ensure that its customers are provided information about the risks, benefits and liabilities of using digital payment products and its related services before they subscribe to them. Customers shall also be informed clearly and precisely on their rights, obligations and responsibilities on matters relating to digital payments, and, any problems that may arise from its service unavailability, processing errors and security breaches. The terms and conditions including customer privacy and security policy applying to digital payment products and services shall be readily available to customers within the product. All digital channels are to be offered on express willingness of customers and shall not be bundled without their knowledge.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47. Whenever new operating features or functions, particularly those relating to security, integrity and authentication, are introduced to online delivery channels, clear and effective communication followed by sufficient instructions to properly utilise such new features should be provided to the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48. REs may continuously create public awareness on the types of threats and attacks used against the consumers while using digital payment products and precautionary measures to safeguard against the same. Customers shall be cautioned against commonly known threats in recent times like phishing, vishing, reverse-phishing, remote access of mobile devices and educated to secure and safeguard their account details, credentials, PIN, card details, devices,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49. REs shall provide digital payment products and services, to a customer only at her/ his option based on specific written or authenticated electronic requisition along with a positive acknowledgement of the terms and conditions.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50. REs should provide a mechanism on their mobile and internet banking application for their customers to, with necessary authentication, identify/ mark a transaction as fraudulent for seamless and immediate notification to his RE. On such notification by the customer, the REs may endeavour to build the capability for seamless/ instant reporting of fraudulent transactions to the corresponding beneficiary/ counterparty’s RE; vice-versa have mechanism to receive such fraudulent transactions reported from other </w:t>
      </w:r>
      <w:proofErr w:type="spellStart"/>
      <w:r w:rsidRPr="00BE0E8C">
        <w:rPr>
          <w:rFonts w:ascii="Times New Roman" w:eastAsia="Times New Roman" w:hAnsi="Times New Roman" w:cs="Times New Roman"/>
          <w:color w:val="000000"/>
          <w:sz w:val="24"/>
          <w:szCs w:val="24"/>
          <w:lang w:eastAsia="en-IN"/>
        </w:rPr>
        <w:t>REs.</w:t>
      </w:r>
      <w:proofErr w:type="spellEnd"/>
      <w:r w:rsidRPr="00BE0E8C">
        <w:rPr>
          <w:rFonts w:ascii="Times New Roman" w:eastAsia="Times New Roman" w:hAnsi="Times New Roman" w:cs="Times New Roman"/>
          <w:color w:val="000000"/>
          <w:sz w:val="24"/>
          <w:szCs w:val="24"/>
          <w:lang w:eastAsia="en-IN"/>
        </w:rPr>
        <w:t xml:space="preserve"> The objective of this mechanism is to accelerate early detection and enable the banking/ payment system to trace the transaction trail and mitigate the loss to the defrauded customer at the earliest possible time.</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III</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INTERNET BANKING SECURITY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88"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REs offering/ intending to offer internet banking facility to their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Internet banking websites are vulnerable to authentication related brute force attacks/ application layer Denial of Service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Based on the RE’s individual risk/ vulnerability assessment on authentication-related attacks such as brute force/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REs shall implement additional levels of authentication to internet banking website such as adaptive authentication, strong CAPTCHA (preferably with anti-bot features) with server-side validation, etc., in order to plug this vulnerability and prevent its exploitation. Appropriate </w:t>
      </w:r>
      <w:r w:rsidRPr="00BE0E8C">
        <w:rPr>
          <w:rFonts w:ascii="Times New Roman" w:eastAsia="Times New Roman" w:hAnsi="Times New Roman" w:cs="Times New Roman"/>
          <w:color w:val="000000"/>
          <w:sz w:val="24"/>
          <w:szCs w:val="24"/>
          <w:lang w:eastAsia="en-IN"/>
        </w:rPr>
        <w:lastRenderedPageBreak/>
        <w:t>measures shall be taken to prevent DNS cache poisoning attacks and for secure handling of cookies. Virtual keyboard option should be made available.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An online session shall be automatically terminated after a fixed period of inactivity.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Secure delivery of password for login purpose shall be ensured. The password generated and dispatched by the RE should be valid for a limited period from the date of its creation. If the password is generated and dispatched by the RE, then, the user shall be compulsorily required to change the password, on the first login.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54. When the internet banking application is accessed through external websites (</w:t>
      </w:r>
      <w:proofErr w:type="spellStart"/>
      <w:r w:rsidRPr="00BE0E8C">
        <w:rPr>
          <w:rFonts w:ascii="Times New Roman" w:eastAsia="Times New Roman" w:hAnsi="Times New Roman" w:cs="Times New Roman"/>
          <w:color w:val="000000"/>
          <w:sz w:val="24"/>
          <w:szCs w:val="24"/>
          <w:lang w:eastAsia="en-IN"/>
        </w:rPr>
        <w:t>eg</w:t>
      </w:r>
      <w:proofErr w:type="spellEnd"/>
      <w:r w:rsidRPr="00BE0E8C">
        <w:rPr>
          <w:rFonts w:ascii="Times New Roman" w:eastAsia="Times New Roman" w:hAnsi="Times New Roman" w:cs="Times New Roman"/>
          <w:color w:val="000000"/>
          <w:sz w:val="24"/>
          <w:szCs w:val="24"/>
          <w:lang w:eastAsia="en-IN"/>
        </w:rPr>
        <w:t>: in case of payment of taxes, e-commerce transactions, etc.), the procedure for authentication and the appearance/ look and feel of the RE’s internet banking site should be made uniform as far as possible.</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IV</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MOBILE PAYMENTS APPLICATION SECURITY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89"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offer mobile banking/ mobile payments facility to their customers through mobile application: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55. On detection of any anomalies or exceptions for which the mobile application was not programmed, the customer shall be directed to remove the current copy/ instance of the application and proceed with installation of a new copy/ instance of the application. REs shall be able to verify the version of the mobile application before the transactions are enabled.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56. Specific Controls for mobile applications include:</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policy enforcement (allowing app installation/ execution after baseline requirements are met);</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secure download/ install;</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Deactivating older application versions in a phased but time bound manner (not exceeding six months from the date of release of newer version) i.e., maintaining only one version (excluding the overlap period while phasing out older version) of the mobile application on a platform/ operating system;</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Storage of customer data;</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or application encryption;</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Ensuring minimal data collection/ app permissions;</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sandbox/ containerisation;</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Ability to identify remote access applications (to the extent possible) and prohibit login access to the mobile application, as a matter of precaution; and</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Code obfuscation.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57. REs may consider to perform validation on the security and compatibility condition of the device/ operating system and the mobile application to ensure that activities relating to the account are put through the mobile application in a safe and secure manner.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58. REs may explore the feasibility of implementing a code that checks if the device is rooted/ jailbroken prior to the installation of the mobile application and disallow the mobile application to install/ function if the phone is rooted/ jailbroken.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59. Checksum of current active version of application shall be hosted on public platform so that users can verify the same.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 REs shall ensure device binding of mobile application</w:t>
      </w:r>
      <w:hyperlink r:id="rId90" w:anchor="F5" w:history="1">
        <w:r w:rsidRPr="00BE0E8C">
          <w:rPr>
            <w:rFonts w:ascii="Times New Roman" w:eastAsia="Times New Roman" w:hAnsi="Times New Roman" w:cs="Times New Roman"/>
            <w:color w:val="0000FF"/>
            <w:sz w:val="24"/>
            <w:szCs w:val="24"/>
            <w:u w:val="single"/>
            <w:vertAlign w:val="superscript"/>
            <w:lang w:eastAsia="en-IN"/>
          </w:rPr>
          <w:t>5</w:t>
        </w:r>
      </w:hyperlink>
      <w:r w:rsidRPr="00BE0E8C">
        <w:rPr>
          <w:rFonts w:ascii="Times New Roman" w:eastAsia="Times New Roman" w:hAnsi="Times New Roman" w:cs="Times New Roman"/>
          <w:color w:val="000000"/>
          <w:sz w:val="24"/>
          <w:szCs w:val="24"/>
          <w:lang w:eastAsia="en-IN"/>
        </w:rPr>
        <w: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Considering that the additional factor of authentication and mobile application may reside on the same mobile device in the case of mobile banking, mobile payments, REs may consider implementing alternatives to SMS-based OTP authentication mechanisms.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The mobile application should require re-authentication whenever the device or application remains unused for a designated period and each time the user launches the application. Applications must be able to identify new network connections or connections from unsecured networks like unsecured Wi-Fi connections and must implement appropriate authentication/ checks/ measures to perform transactions under those circumstances.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mobile application should not store/ retain sensitive personal/ consumer authentication information such as user IDs, passwords, keys, hashes, hard coded references on the device and the application should securely wipe any sensitive customer information from memory when the customer/ user exits the application.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REs shall ensure that their mobile application limit the writing of sensitive information into ‘temp’ files. The sensitive information written in such files must be suitably encrypted/ masked/ hashed and stored securely.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REs may consider designing anti-malware capabilities into their mobile applications.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66. REs shall ensure that the usage of raw (visible) SQL queries in mobile applications to fetch or update data from databases is avoided. Mobile applications should be secured from SQL injection type of vulnerabilities. Sensitive information should be written to the database in an encrypted form. Web content, as part of the mobile application’s layout, should not be loaded if errors are detected during SSL/ TLS negotiation. Certificate errors on account of the certificate not being signed by a recognised certificate authority; expiry/ revocation of the certificate must be displayed to the user.</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V</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CARD PAYMENTS SECURITY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91"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issue cards (credit/ debit/ prepaid) (physical or virtual) to their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67. REs shall follow various payment card standards (over and above PCI-DSS and PA-DSS</w:t>
      </w:r>
      <w:hyperlink r:id="rId92" w:anchor="F6" w:history="1">
        <w:r w:rsidRPr="00BE0E8C">
          <w:rPr>
            <w:rFonts w:ascii="Times New Roman" w:eastAsia="Times New Roman" w:hAnsi="Times New Roman" w:cs="Times New Roman"/>
            <w:color w:val="0000FF"/>
            <w:sz w:val="24"/>
            <w:szCs w:val="24"/>
            <w:u w:val="single"/>
            <w:vertAlign w:val="superscript"/>
            <w:lang w:eastAsia="en-IN"/>
          </w:rPr>
          <w:t>6</w:t>
        </w:r>
      </w:hyperlink>
      <w:r w:rsidRPr="00BE0E8C">
        <w:rPr>
          <w:rFonts w:ascii="Times New Roman" w:eastAsia="Times New Roman" w:hAnsi="Times New Roman" w:cs="Times New Roman"/>
          <w:color w:val="000000"/>
          <w:sz w:val="24"/>
          <w:szCs w:val="24"/>
          <w:lang w:eastAsia="en-IN"/>
        </w:rPr>
        <w:t>) as per Payment Card Industry (PCI) prescriptions for comprehensive payment card security as per applicability/ readiness of updated versions of the standards such as –</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PCI-PIN (secure management, processing, and transmission of personal identification number (PIN) data);</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PCI-PTS (security approval framework addresses the logical and/ or physical protection of cardholder and other sensitive data at point of interaction (POI) devices and hardware security modules (HSMs);</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PCI-HSM (securing cardholder-authentication applications and processes including key generation, key injection, PIN verification, secure encryption algorithm, etc.); and</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PCI-P2PE (security standard that requires payment card information to be encrypted instantly upon its initial swipe and then securely transferred directly to the payment processor).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68. REs should ensure that terminals installed at the merchants for capturing card details for payments or otherwise are validated against the PCI-P2PE program to use PCI-approved P2PE solutions;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terminals with PIN entry installed at the merchants for capturing card payments (including the double swipe terminals) are approved by the PCI-PTS program.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69. Acquirers shall secure their card payment infrastructure (Unique Key Per Terminal – UKPT or Derived Unique Key Per Transaction – DUKPT/ Terminal Line Encryption – TLE).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70. The security controls to be implemented at HSM are:</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HSMs should have logging enabled, the logs must themselves be tamper proof;</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HSM can become a single point of failure. This needs to be mitigated by ‘clustering’ for high availability and ensure secure backups;</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Access to the HSM should be controlled through Access Control Lists (ACLs);</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Separate ACLs should be maintained for each individual application to ensure application level isolation;</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access to HSM should be managed and monitored using a robust Privileged Identity and Access Management solution;</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Decryption and validation of keys, PIN should be done at HSM;</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PIN generation and printing should be directly at system connected HSM;</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CVV generation and validation should be done at HSM;</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Ensure HSM is implemented with secure PIN block format with controls to disable outputting PIN block in weaker format;</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Secure key management for HSMs (such as LMKs, etc.); and</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Security of the physical keys of the HSM device should be properly maintained.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REs shall implement the following for improving the security posture of the ATM:</w:t>
      </w:r>
    </w:p>
    <w:p w:rsidR="00F74A17" w:rsidRPr="00BE0E8C" w:rsidRDefault="00F74A17" w:rsidP="00F74A17">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Implement security measures such as BIOS password, disabling USB ports, disabling auto-run facility, applying the latest patches of operating system and other </w:t>
      </w:r>
      <w:proofErr w:type="spellStart"/>
      <w:r w:rsidRPr="00BE0E8C">
        <w:rPr>
          <w:rFonts w:ascii="Times New Roman" w:eastAsia="Times New Roman" w:hAnsi="Times New Roman" w:cs="Times New Roman"/>
          <w:color w:val="000000"/>
          <w:sz w:val="24"/>
          <w:szCs w:val="24"/>
          <w:lang w:eastAsia="en-IN"/>
        </w:rPr>
        <w:t>softwares</w:t>
      </w:r>
      <w:proofErr w:type="spellEnd"/>
      <w:r w:rsidRPr="00BE0E8C">
        <w:rPr>
          <w:rFonts w:ascii="Times New Roman" w:eastAsia="Times New Roman" w:hAnsi="Times New Roman" w:cs="Times New Roman"/>
          <w:color w:val="000000"/>
          <w:sz w:val="24"/>
          <w:szCs w:val="24"/>
          <w:lang w:eastAsia="en-IN"/>
        </w:rPr>
        <w:t xml:space="preserve">, terminal security solution, time-based admin access, </w:t>
      </w:r>
      <w:proofErr w:type="spellStart"/>
      <w:r w:rsidRPr="00BE0E8C">
        <w:rPr>
          <w:rFonts w:ascii="Times New Roman" w:eastAsia="Times New Roman" w:hAnsi="Times New Roman" w:cs="Times New Roman"/>
          <w:color w:val="000000"/>
          <w:sz w:val="24"/>
          <w:szCs w:val="24"/>
          <w:lang w:eastAsia="en-IN"/>
        </w:rPr>
        <w:t>etc</w:t>
      </w:r>
      <w:proofErr w:type="spellEnd"/>
      <w:r w:rsidRPr="00BE0E8C">
        <w:rPr>
          <w:rFonts w:ascii="Times New Roman" w:eastAsia="Times New Roman" w:hAnsi="Times New Roman" w:cs="Times New Roman"/>
          <w:color w:val="000000"/>
          <w:sz w:val="24"/>
          <w:szCs w:val="24"/>
          <w:lang w:eastAsia="en-IN"/>
        </w:rPr>
        <w:t>;</w:t>
      </w:r>
    </w:p>
    <w:p w:rsidR="00F74A17" w:rsidRPr="00BE0E8C" w:rsidRDefault="00F74A17" w:rsidP="00F74A17">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anti-skimming and whitelisting solution; and</w:t>
      </w:r>
    </w:p>
    <w:p w:rsidR="00F74A17" w:rsidRPr="00BE0E8C" w:rsidRDefault="00F74A17" w:rsidP="00F74A17">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Upgrade all the ATMs with supported versions of operating system. Use of ATMs that have unsupported operating systems shall be prohibited.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72. REs shall ensure robust surveillance/ monitoring of card transactions (especially overseas cash withdrawals) and setting up of rules and limits commensurate with their risk appetites. REs shall take up with the card network and/ or ATM network as the case may be, to put in place transaction limits at Card, BIN as well as at the RE level. Such limits shall be mandatorily set at the card network switch itself. Limits could be mandated both for domestic as well as international transactions separately. REs shall put in place transaction control mechanisms with necessary caps (restrictions on transactions), if any of the limits set as per the above requirement is breached. A periodic review mechanism of such limits set as per the risk appetite </w:t>
      </w:r>
      <w:r w:rsidRPr="00BE0E8C">
        <w:rPr>
          <w:rFonts w:ascii="Times New Roman" w:eastAsia="Times New Roman" w:hAnsi="Times New Roman" w:cs="Times New Roman"/>
          <w:color w:val="000000"/>
          <w:sz w:val="24"/>
          <w:szCs w:val="24"/>
          <w:lang w:eastAsia="en-IN"/>
        </w:rPr>
        <w:lastRenderedPageBreak/>
        <w:t>of the RE shall be put in place as per the Board-approved policy. REs shall institute a mechanism to monitor breaches, if any, on a 24x7 basis, including weekends, long holidays and put in place a robust incident response mechanism to mitigate the fraud loss, on account of suspicious transactions, if any. REs shall ensure that card details of the customers are not stored in plain text at the RE and its vendor(s) locations, systems and applications. REs shall also ensure that the processing of card details in readable format is performed in a secure manner to strictly avoid data leakage of sensitive customer information.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73. REs that use card data scanning tools to identify unencrypted (clear text) payments card data in their ecosystem especially during audits shall adhere to the following safety measures:</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Any tool (procured by/ from a third-party) for the purpose of scanning of unencrypted card data should first be tested in a test environment to understand the scope and impact of the tool’s capabilities;</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scanning tool should be installed only in the RE's premises on their devices;</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data scanning should not be done remotely;</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discovered data, if any, must preferably reside in the scanning tool. Exportable card data must be appropriately masked. (No data, even masked, must be taken out of the RE’s premises/ infrastructure); and</w:t>
      </w:r>
    </w:p>
    <w:p w:rsidR="00F74A17" w:rsidRPr="00BE0E8C" w:rsidRDefault="00F74A17" w:rsidP="00F74A17">
      <w:pPr>
        <w:numPr>
          <w:ilvl w:val="0"/>
          <w:numId w:val="25"/>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Limited access to service providers to conduct the scan or analyse the data, if at all, must be provided only on the RE’s devices.</w:t>
      </w:r>
    </w:p>
    <w:p w:rsidR="00F74A17" w:rsidRPr="00BE0E8C" w:rsidRDefault="00F74A17" w:rsidP="00F74A17">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p>
    <w:p w:rsidR="00F74A17" w:rsidRPr="00BE0E8C" w:rsidRDefault="00E917D6" w:rsidP="00F74A17">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hyperlink r:id="rId93" w:history="1">
        <w:r w:rsidR="00F74A17" w:rsidRPr="00BE0E8C">
          <w:rPr>
            <w:rStyle w:val="Hyperlink"/>
            <w:rFonts w:ascii="Times New Roman" w:eastAsia="Times New Roman" w:hAnsi="Times New Roman" w:cs="Times New Roman"/>
            <w:sz w:val="24"/>
            <w:szCs w:val="24"/>
            <w:lang w:eastAsia="en-IN"/>
          </w:rPr>
          <w:t>https://www.rbi.org.in/Scripts/NotificationUser.aspx?Id=12032&amp;Mode=0</w:t>
        </w:r>
      </w:hyperlink>
      <w:r w:rsidR="00F74A17" w:rsidRPr="00BE0E8C">
        <w:rPr>
          <w:rFonts w:ascii="Times New Roman" w:eastAsia="Times New Roman" w:hAnsi="Times New Roman" w:cs="Times New Roman"/>
          <w:color w:val="000000"/>
          <w:sz w:val="24"/>
          <w:szCs w:val="24"/>
          <w:lang w:eastAsia="en-IN"/>
        </w:rPr>
        <w:t xml:space="preserve"> </w:t>
      </w:r>
    </w:p>
    <w:p w:rsidR="00F74A17" w:rsidRDefault="00F74A17" w:rsidP="00F74A17">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Capital and provisioning requirements for exposures to entities with Unhedged Foreign Currency Exposure</w:t>
      </w: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pacing w:after="0" w:line="240" w:lineRule="auto"/>
        <w:jc w:val="both"/>
        <w:rPr>
          <w:rFonts w:ascii="Times New Roman" w:hAnsi="Times New Roman" w:cs="Times New Roman"/>
          <w:b/>
          <w:color w:val="000000"/>
          <w:sz w:val="24"/>
          <w:szCs w:val="24"/>
        </w:rPr>
      </w:pPr>
      <w:r w:rsidRPr="00BE0E8C">
        <w:rPr>
          <w:rFonts w:ascii="Times New Roman" w:eastAsia="Times New Roman" w:hAnsi="Times New Roman" w:cs="Times New Roman"/>
          <w:b/>
          <w:color w:val="000000"/>
          <w:sz w:val="24"/>
          <w:szCs w:val="24"/>
          <w:lang w:eastAsia="en-IN"/>
        </w:rPr>
        <w:t>RBI/2020-21/100 DOR.No.MRG.BC.41/21.06.200/2020-21</w:t>
      </w:r>
      <w:r w:rsidRPr="00BE0E8C">
        <w:rPr>
          <w:rFonts w:ascii="Times New Roman" w:eastAsia="Times New Roman" w:hAnsi="Times New Roman" w:cs="Times New Roman"/>
          <w:b/>
          <w:color w:val="000000"/>
          <w:sz w:val="24"/>
          <w:szCs w:val="24"/>
          <w:lang w:eastAsia="en-IN"/>
        </w:rPr>
        <w:tab/>
        <w:t>February 17, 2021</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RRBs)</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our </w:t>
      </w:r>
      <w:hyperlink r:id="rId94" w:tgtFrame="_blank" w:history="1">
        <w:r w:rsidRPr="00BE0E8C">
          <w:rPr>
            <w:rStyle w:val="Hyperlink"/>
            <w:u w:val="none"/>
          </w:rPr>
          <w:t>circular DBOD.No.BP.BC.116/21.06.200/2013-14 dated June 3, 2014</w:t>
        </w:r>
      </w:hyperlink>
      <w:r w:rsidRPr="00BE0E8C">
        <w:rPr>
          <w:color w:val="000000"/>
        </w:rPr>
        <w:t> on capital and provisioning requirements for exposures to entities with Unhedged Foreign Currency Exposure (UFCE).</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The guidelines mandate that information on UFCE may be obtained by banks from entities on a quarterly basis, on self-certification basis, and preferably should be internally audited by the entity concerned. We have received representation from banks expressing their inability in obtaining UFCE certificates from listed entities for the latest quarter due to restrictions on disclosure of such information prior to finalisation of accounts.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In view of this, it has been decided that in such cases, banks may use data pertaining to the immediate preceding quarter for computing capital and provisioning requirements in case of Unhedged Foreign Currency Exposures.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All other instructions remain unchanged.</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Remittances to International Financial Services Centres (IFSCs) in India under the Liberalised Remittance Scheme (LRS)</w:t>
      </w: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lastRenderedPageBreak/>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F74A17" w:rsidRPr="00BE0E8C" w:rsidRDefault="00F74A17" w:rsidP="00F74A17">
      <w:pPr>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95"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96"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 With a view to deepen the financial markets in International Financial Services Centres (IFSCs) and provide an opportunity to resident individuals to diversify their portfolio, the extant guidelines on Liberalised Remittance Scheme (LRS) have been reviewed and it has been decided to permit resident individuals to make remittances under LRS to IFSCs set up in India under the Special Economic Zone Act, 2005, as amended from time to time. Accordingly,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xml:space="preserve"> may allow resident individuals to make remittances under LRS to IFSCs in India, subject to the following conditions:</w:t>
      </w:r>
    </w:p>
    <w:p w:rsidR="00F74A17" w:rsidRPr="00BE0E8C" w:rsidRDefault="00F74A17" w:rsidP="00F74A17">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F74A17" w:rsidRPr="00BE0E8C" w:rsidRDefault="00F74A17" w:rsidP="00F74A17">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Resident Individuals may also open a non interest bearing Foreign Currency Account (FCA) in IFSCs, for making the above permissible investments under LRS. Any funds lying idle in the account for a period </w:t>
      </w:r>
      <w:proofErr w:type="spellStart"/>
      <w:r w:rsidRPr="00BE0E8C">
        <w:rPr>
          <w:rFonts w:ascii="Times New Roman" w:eastAsia="Times New Roman" w:hAnsi="Times New Roman" w:cs="Times New Roman"/>
          <w:color w:val="000000"/>
          <w:sz w:val="24"/>
          <w:szCs w:val="24"/>
          <w:lang w:eastAsia="en-IN"/>
        </w:rPr>
        <w:t>upto</w:t>
      </w:r>
      <w:proofErr w:type="spellEnd"/>
      <w:r w:rsidRPr="00BE0E8C">
        <w:rPr>
          <w:rFonts w:ascii="Times New Roman" w:eastAsia="Times New Roman" w:hAnsi="Times New Roman" w:cs="Times New Roman"/>
          <w:color w:val="000000"/>
          <w:sz w:val="24"/>
          <w:szCs w:val="24"/>
          <w:lang w:eastAsia="en-IN"/>
        </w:rPr>
        <w:t xml:space="preserve"> 15 days from the date of its receipt into the account shall be immediately repatriated to domestic INR account of the investor in India.</w:t>
      </w:r>
    </w:p>
    <w:p w:rsidR="00F74A17" w:rsidRPr="00BE0E8C" w:rsidRDefault="00F74A17" w:rsidP="00F74A17">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w:t>
      </w:r>
      <w:hyperlink r:id="rId97" w:tgtFrame="_blank" w:history="1">
        <w:r w:rsidRPr="00BE0E8C">
          <w:rPr>
            <w:rFonts w:ascii="Times New Roman" w:eastAsia="Times New Roman" w:hAnsi="Times New Roman" w:cs="Times New Roman"/>
            <w:color w:val="0000FF"/>
            <w:sz w:val="24"/>
            <w:szCs w:val="24"/>
            <w:u w:val="single"/>
            <w:lang w:eastAsia="en-IN"/>
          </w:rPr>
          <w:t>Master Direction No.7 (Master Direction – Liberalised Remittance Scheme)</w:t>
        </w:r>
      </w:hyperlink>
      <w:r w:rsidRPr="00BE0E8C">
        <w:rPr>
          <w:rFonts w:ascii="Times New Roman" w:eastAsia="Times New Roman" w:hAnsi="Times New Roman" w:cs="Times New Roman"/>
          <w:color w:val="000000"/>
          <w:sz w:val="24"/>
          <w:szCs w:val="24"/>
          <w:lang w:eastAsia="en-IN"/>
        </w:rPr>
        <w:t xml:space="preserve"> is being updated to reflect the above changes.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xml:space="preserve"> should bring the contents of this circular to the notice of their constituents and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Default="00F74A1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Margin for Derivative Contracts</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Attention of Authorised Dealer Category-I (AD Cat-I) banks is invited to the Foreign Exchange Management (Margin for Derivative Contracts) Regulations, 2020 notified in the Gazette of </w:t>
      </w:r>
      <w:r w:rsidRPr="00BE0E8C">
        <w:rPr>
          <w:rFonts w:ascii="Times New Roman" w:eastAsia="Times New Roman" w:hAnsi="Times New Roman" w:cs="Times New Roman"/>
          <w:color w:val="000000"/>
          <w:sz w:val="24"/>
          <w:szCs w:val="24"/>
          <w:lang w:eastAsia="en-IN"/>
        </w:rPr>
        <w:lastRenderedPageBreak/>
        <w:t>India vide notification no. FEMA.399/RB-2020 dated October 23, 2020 (</w:t>
      </w:r>
      <w:hyperlink r:id="rId98"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Accordingly, directions are being issued to allow posting and collection of margin for permitted derivative contracts between a person resident in India and a person resident outside India.</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Indian Central Government and State Governments;</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Rupee bonds issued by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in India which are:</w:t>
      </w:r>
    </w:p>
    <w:p w:rsidR="00E03DB7" w:rsidRPr="00BE0E8C" w:rsidRDefault="00E03DB7" w:rsidP="00E03DB7">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E03DB7" w:rsidRPr="00BE0E8C" w:rsidRDefault="00E03DB7" w:rsidP="00E03DB7">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Assigned a credit rating of AAA issued by a rating agency registered with the Securities and Exchange Board of India. If different ratings are accorded by two or more credit rating agencies, then the lowest rating shall be reckoned.</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E03DB7" w:rsidRPr="00BE0E8C" w:rsidRDefault="00E03DB7" w:rsidP="00E03DB7">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E03DB7" w:rsidRPr="00BE0E8C" w:rsidRDefault="00E03DB7" w:rsidP="00E03DB7">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 AD Cat-I banks shall maintain a separate account in the name of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outside India for the purpose of posting and collecting cash margin in India, and transactions incidental thereto.</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directions contained in this circular have been issued under Sections 10(4) and 11(1) of the Foreign Exchange Management Act, 1999 (42 of 1999) and are without prejudice to permissions / approvals, if any, required under any other law.</w:t>
      </w: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Basel III Framework on Liquidity Standards – Net Stable Funding Ratio (NSFR)</w:t>
      </w: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RBI/2020-21/95 DOR.No.LRG.BC.40/21.04.098/2020-21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05, 2021</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 xml:space="preserve">All Commercial Banks (excluding Regional Rural </w:t>
      </w:r>
      <w:proofErr w:type="spellStart"/>
      <w:proofErr w:type="gramStart"/>
      <w:r w:rsidRPr="00BE0E8C">
        <w:rPr>
          <w:rFonts w:ascii="Times New Roman" w:eastAsia="Times New Roman" w:hAnsi="Times New Roman" w:cs="Times New Roman"/>
          <w:i/>
          <w:color w:val="000000"/>
          <w:sz w:val="24"/>
          <w:szCs w:val="24"/>
          <w:lang w:eastAsia="en-IN"/>
        </w:rPr>
        <w:t>Banks,Local</w:t>
      </w:r>
      <w:proofErr w:type="spellEnd"/>
      <w:proofErr w:type="gramEnd"/>
      <w:r w:rsidRPr="00BE0E8C">
        <w:rPr>
          <w:rFonts w:ascii="Times New Roman" w:eastAsia="Times New Roman" w:hAnsi="Times New Roman" w:cs="Times New Roman"/>
          <w:i/>
          <w:color w:val="000000"/>
          <w:sz w:val="24"/>
          <w:szCs w:val="24"/>
          <w:lang w:eastAsia="en-IN"/>
        </w:rPr>
        <w:t xml:space="preserve"> Area Banks and Payments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our </w:t>
      </w:r>
      <w:hyperlink r:id="rId99" w:tgtFrame="_blank" w:history="1">
        <w:r w:rsidRPr="00BE0E8C">
          <w:rPr>
            <w:rStyle w:val="Hyperlink"/>
            <w:u w:val="none"/>
          </w:rPr>
          <w:t>circular DBR.BP.BC.No.106/21.04.098/2017-18 dated May 17, 2018</w:t>
        </w:r>
      </w:hyperlink>
      <w:r w:rsidRPr="00BE0E8C">
        <w:rPr>
          <w:color w:val="000000"/>
        </w:rPr>
        <w:t> on Basel III Framework on Liquidity Standards - Net Stable Funding Ratio (NSFR)-Final Guidelines (‘NSFR Guidelines’) and </w:t>
      </w:r>
      <w:hyperlink r:id="rId100" w:tgtFrame="_blank" w:history="1">
        <w:r w:rsidRPr="00BE0E8C">
          <w:rPr>
            <w:rStyle w:val="Hyperlink"/>
            <w:u w:val="none"/>
          </w:rPr>
          <w:t>circular DOR.BP.BC.No.16/21.04.098/2020-21 dated September 29, 2020</w:t>
        </w:r>
      </w:hyperlink>
      <w:r w:rsidRPr="00BE0E8C">
        <w:rPr>
          <w:color w:val="000000"/>
        </w:rPr>
        <w:t> deferring the implementation of the said guidelines till April 1,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In view of the ongoing stress on account of COVID-19, it has been decided to defer the implementation of NSFR guidelines by a further period of six months. Accordingly, the NSFR Guidelines shall come into effect from October 1, 2021.</w:t>
      </w: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Default="002E2BDE"/>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SLR holdings in HTM category</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RBI/2020-21/94 DOR.No.MRG.BC.39/21.04.141/2020-21</w:t>
      </w:r>
      <w:r w:rsidRPr="00BE0E8C">
        <w:rPr>
          <w:b/>
          <w:color w:val="000000"/>
        </w:rPr>
        <w:tab/>
      </w:r>
      <w:r w:rsidRPr="00BE0E8C">
        <w:rPr>
          <w:b/>
          <w:color w:val="000000"/>
        </w:rPr>
        <w:tab/>
        <w:t>February 5,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Commercial Banks</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paragraph 4 of </w:t>
      </w:r>
      <w:hyperlink r:id="rId101" w:tgtFrame="_blank" w:history="1">
        <w:r w:rsidRPr="00BE0E8C">
          <w:rPr>
            <w:rFonts w:ascii="Times New Roman" w:eastAsia="Times New Roman" w:hAnsi="Times New Roman" w:cs="Times New Roman"/>
            <w:color w:val="0000FF"/>
            <w:sz w:val="24"/>
            <w:szCs w:val="24"/>
            <w:u w:val="single"/>
            <w:lang w:eastAsia="en-IN"/>
          </w:rPr>
          <w:t>Statement on Developmental and Regulatory Policies dated February 5, 2021</w:t>
        </w:r>
      </w:hyperlink>
      <w:r w:rsidRPr="00BE0E8C">
        <w:rPr>
          <w:rFonts w:ascii="Times New Roman" w:eastAsia="Times New Roman" w:hAnsi="Times New Roman" w:cs="Times New Roman"/>
          <w:color w:val="000000"/>
          <w:sz w:val="24"/>
          <w:szCs w:val="24"/>
          <w:lang w:eastAsia="en-IN"/>
        </w:rPr>
        <w:t> and our </w:t>
      </w:r>
      <w:hyperlink r:id="rId102" w:tgtFrame="_blank" w:history="1">
        <w:r w:rsidRPr="00BE0E8C">
          <w:rPr>
            <w:rFonts w:ascii="Times New Roman" w:eastAsia="Times New Roman" w:hAnsi="Times New Roman" w:cs="Times New Roman"/>
            <w:color w:val="0000FF"/>
            <w:sz w:val="24"/>
            <w:szCs w:val="24"/>
            <w:u w:val="single"/>
            <w:lang w:eastAsia="en-IN"/>
          </w:rPr>
          <w:t>circular DoR.No.BP.BC.22/21.04.141/2020-21 dated October 12, 2020</w:t>
        </w:r>
      </w:hyperlink>
      <w:r w:rsidRPr="00BE0E8C">
        <w:rPr>
          <w:rFonts w:ascii="Times New Roman" w:eastAsia="Times New Roman" w:hAnsi="Times New Roman" w:cs="Times New Roman"/>
          <w:color w:val="000000"/>
          <w:sz w:val="24"/>
          <w:szCs w:val="24"/>
          <w:lang w:eastAsia="en-IN"/>
        </w:rPr>
        <w:t> on the above subject.</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Banks are permitted to exceed the limit of 25 per cent of the total investments under Held to Maturity (HTM) category provided:</w:t>
      </w:r>
    </w:p>
    <w:p w:rsidR="00E03DB7" w:rsidRPr="00BE0E8C" w:rsidRDefault="00E03DB7" w:rsidP="00E03DB7">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excess comprises only of SLR securities; and</w:t>
      </w:r>
    </w:p>
    <w:p w:rsidR="00E03DB7" w:rsidRPr="00BE0E8C" w:rsidRDefault="00E03DB7" w:rsidP="00E03DB7">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total SLR securities held under HTM category is not more than 19.5 per cent of Net Demand and Time Liabilities (NDTL) as on the last Friday of the second preceding fortnight.</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With respect to the limit stated in paragraph 2(b) above, banks have been granted a special dispensation of enhanced HTM limit of 22 per cent of NDTL, for SLR securities acquired between September 1, 2020 and March 31, 2021, until March 31, 2022. The enhanced limit was required to be restored in a phased manner over three quarters beginning with the quarter ending June 30, 2022.</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 It has now been decided to extend the dispensation of enhanced HTM of 22 per cent to March 31, 2023 to include SLR securities acquired between April 1, 2021 and March 31, 2022. Thus, banks may exceed the limit specified in paragraph 2(b) above </w:t>
      </w:r>
      <w:proofErr w:type="spellStart"/>
      <w:r w:rsidRPr="00BE0E8C">
        <w:rPr>
          <w:rFonts w:ascii="Times New Roman" w:eastAsia="Times New Roman" w:hAnsi="Times New Roman" w:cs="Times New Roman"/>
          <w:color w:val="000000"/>
          <w:sz w:val="24"/>
          <w:szCs w:val="24"/>
          <w:lang w:eastAsia="en-IN"/>
        </w:rPr>
        <w:t>upto</w:t>
      </w:r>
      <w:proofErr w:type="spellEnd"/>
      <w:r w:rsidRPr="00BE0E8C">
        <w:rPr>
          <w:rFonts w:ascii="Times New Roman" w:eastAsia="Times New Roman" w:hAnsi="Times New Roman" w:cs="Times New Roman"/>
          <w:color w:val="000000"/>
          <w:sz w:val="24"/>
          <w:szCs w:val="24"/>
          <w:lang w:eastAsia="en-IN"/>
        </w:rPr>
        <w:t xml:space="preserve"> 22 per cent of NDTL (instead of 19.5 per cent of NDTL) till March 31, 2023, provided such excess is on account of SLR securities acquired between September 1, 2020 and March 31, 2022.</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schedule for restoring the enhanced HTM limit to 19.5 per cent of NDTL specified in paragraph 3 of the </w:t>
      </w:r>
      <w:hyperlink r:id="rId103" w:tgtFrame="_blank" w:history="1">
        <w:r w:rsidRPr="00BE0E8C">
          <w:rPr>
            <w:rFonts w:ascii="Times New Roman" w:eastAsia="Times New Roman" w:hAnsi="Times New Roman" w:cs="Times New Roman"/>
            <w:color w:val="0000FF"/>
            <w:sz w:val="24"/>
            <w:szCs w:val="24"/>
            <w:u w:val="single"/>
            <w:lang w:eastAsia="en-IN"/>
          </w:rPr>
          <w:t>circular dated October 12, 2020</w:t>
        </w:r>
      </w:hyperlink>
      <w:r w:rsidRPr="00BE0E8C">
        <w:rPr>
          <w:rFonts w:ascii="Times New Roman" w:eastAsia="Times New Roman" w:hAnsi="Times New Roman" w:cs="Times New Roman"/>
          <w:color w:val="000000"/>
          <w:sz w:val="24"/>
          <w:szCs w:val="24"/>
          <w:lang w:eastAsia="en-IN"/>
        </w:rPr>
        <w:t> referred to above is accordingly modified. The enhanced HTM limit shall be restored to 19.5 percent in a phased manner, beginning from the quarter ending June 30, 2023, i.e. the excess SLR securities acquired by banks during the period September 1, 2020 to March 31, 2022 shall be progressively reduced from the HTM category such that the total SLR securities under the HTM category as a percentage of the NDTL does not exceed:</w:t>
      </w:r>
    </w:p>
    <w:p w:rsidR="00E03DB7" w:rsidRPr="00BE0E8C" w:rsidRDefault="00E03DB7" w:rsidP="00E03DB7">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21.00 per cent as on June 30, 2023</w:t>
      </w:r>
    </w:p>
    <w:p w:rsidR="00E03DB7" w:rsidRPr="00BE0E8C" w:rsidRDefault="00E03DB7" w:rsidP="00E03DB7">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20.00 per cent as on September 30, 2023</w:t>
      </w:r>
    </w:p>
    <w:p w:rsidR="00E03DB7" w:rsidRPr="00BE0E8C" w:rsidRDefault="00E03DB7" w:rsidP="00E03DB7">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19.50 per cent as on December 31, 2023</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Default="00E03DB7" w:rsidP="00E03DB7">
      <w:pP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 As per extant instructions, banks may shift investments to/from HTM with the approval of the Board of Directors once a year and such shifting will normally be allowed at the </w:t>
      </w:r>
      <w:r w:rsidRPr="00BE0E8C">
        <w:rPr>
          <w:rFonts w:ascii="Times New Roman" w:eastAsia="Times New Roman" w:hAnsi="Times New Roman" w:cs="Times New Roman"/>
          <w:color w:val="000000"/>
          <w:sz w:val="24"/>
          <w:szCs w:val="24"/>
          <w:lang w:eastAsia="en-IN"/>
        </w:rPr>
        <w:lastRenderedPageBreak/>
        <w:t>beginning of the accounting year. However, in order to enable banks to shift their excess SLR securities from the HTM category to available for sale (AFS)/ held for trading (HFT) to comply with the instructions as indicated in paragraph 5 above, it has been decided to allow such shifting of the excess securities during the quarter in which the HTM ceiling is brought down. This would be in addition to the shifting permitted at the beginning of the accounting year.</w:t>
      </w: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Basel III Capital Regulations- Review of transitional arrangements</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 xml:space="preserve">RBI/2020-21/93 </w:t>
      </w:r>
      <w:proofErr w:type="gramStart"/>
      <w:r w:rsidRPr="00BE0E8C">
        <w:rPr>
          <w:b/>
          <w:color w:val="000000"/>
        </w:rPr>
        <w:t>DOR.CAP.BC.No.</w:t>
      </w:r>
      <w:proofErr w:type="gramEnd"/>
      <w:r w:rsidRPr="00BE0E8C">
        <w:rPr>
          <w:b/>
          <w:color w:val="000000"/>
        </w:rPr>
        <w:t xml:space="preserve">34/21.06.201/2020-21 </w:t>
      </w:r>
      <w:r w:rsidRPr="00BE0E8C">
        <w:rPr>
          <w:b/>
          <w:color w:val="000000"/>
        </w:rPr>
        <w:tab/>
      </w:r>
      <w:r w:rsidRPr="00BE0E8C">
        <w:rPr>
          <w:b/>
          <w:color w:val="000000"/>
        </w:rPr>
        <w:tab/>
      </w:r>
      <w:r w:rsidRPr="00BE0E8C">
        <w:rPr>
          <w:b/>
          <w:color w:val="000000"/>
        </w:rPr>
        <w:tab/>
        <w:t>February 5, 2021</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(Excluding Small Finance Banks, Payments Banks, RRBs and LABs)</w:t>
      </w:r>
    </w:p>
    <w:p w:rsidR="00E03DB7" w:rsidRPr="00BE0E8C" w:rsidRDefault="00E03DB7" w:rsidP="00E03DB7">
      <w:pPr>
        <w:pStyle w:val="NormalWeb"/>
        <w:shd w:val="clear" w:color="auto" w:fill="FFFFFF"/>
        <w:spacing w:before="0" w:beforeAutospacing="0" w:after="0" w:afterAutospacing="0"/>
        <w:jc w:val="both"/>
        <w:rPr>
          <w:i/>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w:t>
      </w:r>
      <w:hyperlink r:id="rId104" w:tgtFrame="_blank" w:history="1">
        <w:r w:rsidRPr="00BE0E8C">
          <w:rPr>
            <w:rStyle w:val="Hyperlink"/>
            <w:u w:val="none"/>
          </w:rPr>
          <w:t>circular DOR.BP.BC.No.15/21.06.201/2020-21 dated September 29, 2020</w:t>
        </w:r>
      </w:hyperlink>
      <w:r w:rsidRPr="00BE0E8C">
        <w:rPr>
          <w:color w:val="000000"/>
        </w:rPr>
        <w:t> on ‘Basel III Capital Regulations- Review of transitional arrangements’.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In view of the continuing stress on account of COVID-19 and in order to aid in the recovery process, it has been decided to defer the implementation of the last tranche of 0.625 per cent of the Capital Conservation Buffer (CCB) from April 1, 2021 to October 1, 2021. Accordingly, the minimum capital conservation ratios in para 15.2.2 of Part D ‘Capital Conservation Buffer Framework’ of </w:t>
      </w:r>
      <w:hyperlink r:id="rId105" w:tgtFrame="_blank" w:history="1">
        <w:r w:rsidRPr="00BE0E8C">
          <w:rPr>
            <w:rStyle w:val="Hyperlink"/>
            <w:u w:val="none"/>
          </w:rPr>
          <w:t>Master Circular, DBR.No.BP.BC.1/21.06.201/2015-16 dated July 1, 2015</w:t>
        </w:r>
      </w:hyperlink>
      <w:r w:rsidRPr="00BE0E8C">
        <w:rPr>
          <w:color w:val="000000"/>
        </w:rPr>
        <w:t> on ‘Basel III Capital Regulations’, shall continue to apply till the CCB attains the level of 2.5 per cent on October 1,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3. The pre-specified trigger for loss absorption through conversion / write-down of Additional Tier 1 instruments (Perpetual Non-Convertible Preference Shares and Perpetual Debt Instruments), shall remain at 5.5 per cent of risk weighted assets (RWAs) and will rise to 6.125 per cent of RWAs from October 1, 2021.</w:t>
      </w:r>
    </w:p>
    <w:p w:rsidR="00E03DB7" w:rsidRPr="00BE0E8C" w:rsidRDefault="00E03DB7" w:rsidP="00E03DB7">
      <w:pPr>
        <w:pStyle w:val="NormalWeb"/>
        <w:pBdr>
          <w:bottom w:val="single" w:sz="12" w:space="1" w:color="auto"/>
        </w:pBdr>
        <w:shd w:val="clear" w:color="auto" w:fill="FFFFFF"/>
        <w:spacing w:before="0" w:beforeAutospacing="0" w:after="0" w:afterAutospacing="0"/>
        <w:jc w:val="both"/>
        <w:rPr>
          <w:color w:val="000000"/>
        </w:rPr>
      </w:pPr>
    </w:p>
    <w:p w:rsidR="00E03DB7" w:rsidRDefault="00E03DB7" w:rsidP="00E03DB7"/>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Section 24 of the Banking Regulation Act, 1949 – Maintenance of Statutory Liquidity Ratio (SLR) – Marginal Standing Facility (MSF) - Extension of Relaxation</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 xml:space="preserve">RBI/2020-21/91 </w:t>
      </w:r>
      <w:proofErr w:type="gramStart"/>
      <w:r w:rsidRPr="00BE0E8C">
        <w:rPr>
          <w:b/>
          <w:color w:val="000000"/>
        </w:rPr>
        <w:t>DOR.No.Ret.BC</w:t>
      </w:r>
      <w:proofErr w:type="gramEnd"/>
      <w:r w:rsidRPr="00BE0E8C">
        <w:rPr>
          <w:b/>
          <w:color w:val="000000"/>
        </w:rPr>
        <w:t>.36/12.01.001/2020-21</w:t>
      </w:r>
      <w:r w:rsidRPr="00BE0E8C">
        <w:rPr>
          <w:b/>
          <w:color w:val="000000"/>
        </w:rPr>
        <w:tab/>
      </w:r>
      <w:r w:rsidRPr="00BE0E8C">
        <w:rPr>
          <w:b/>
          <w:color w:val="000000"/>
        </w:rPr>
        <w:tab/>
        <w:t>February 05, 2021</w:t>
      </w:r>
    </w:p>
    <w:p w:rsidR="00E03DB7" w:rsidRPr="00BE0E8C" w:rsidRDefault="00E03DB7" w:rsidP="00E03DB7">
      <w:pPr>
        <w:pStyle w:val="NormalWeb"/>
        <w:shd w:val="clear" w:color="auto" w:fill="FFFFFF"/>
        <w:spacing w:before="0" w:beforeAutospacing="0" w:after="0" w:afterAutospacing="0"/>
        <w:jc w:val="both"/>
        <w:rPr>
          <w:i/>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Scheduled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our </w:t>
      </w:r>
      <w:hyperlink r:id="rId106" w:tgtFrame="_blank" w:history="1">
        <w:r w:rsidRPr="00BE0E8C">
          <w:rPr>
            <w:rStyle w:val="Hyperlink"/>
            <w:u w:val="none"/>
          </w:rPr>
          <w:t>circulars DOR.No.Ret.BC.52/12.01.001/2019-20 dated March 27, 2020</w:t>
        </w:r>
      </w:hyperlink>
      <w:r w:rsidRPr="00BE0E8C">
        <w:rPr>
          <w:color w:val="000000"/>
        </w:rPr>
        <w:t>, </w:t>
      </w:r>
      <w:hyperlink r:id="rId107" w:tgtFrame="_blank" w:history="1">
        <w:r w:rsidRPr="00BE0E8C">
          <w:rPr>
            <w:rStyle w:val="Hyperlink"/>
            <w:u w:val="none"/>
          </w:rPr>
          <w:t>DOR.RRB.No.28/31.01.001/2020-21 dated December 4, 2020</w:t>
        </w:r>
      </w:hyperlink>
      <w:r w:rsidRPr="00BE0E8C">
        <w:rPr>
          <w:color w:val="000000"/>
        </w:rPr>
        <w:t> and </w:t>
      </w:r>
      <w:hyperlink r:id="rId108" w:tgtFrame="_blank" w:history="1">
        <w:r w:rsidRPr="00BE0E8C">
          <w:rPr>
            <w:rStyle w:val="Hyperlink"/>
            <w:u w:val="none"/>
          </w:rPr>
          <w:t>Press Release No.2020-2021/401 dated September 28, 2020</w:t>
        </w:r>
      </w:hyperlink>
      <w:r w:rsidRPr="00BE0E8C">
        <w:rPr>
          <w:color w:val="000000"/>
        </w:rP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As announced in the </w:t>
      </w:r>
      <w:hyperlink r:id="rId109" w:tgtFrame="_blank" w:history="1">
        <w:r w:rsidRPr="00BE0E8C">
          <w:rPr>
            <w:rStyle w:val="Hyperlink"/>
            <w:u w:val="none"/>
          </w:rPr>
          <w:t>Statement of Developmental and Regulatory Policies of February 05, 2021</w:t>
        </w:r>
      </w:hyperlink>
      <w:r w:rsidRPr="00BE0E8C">
        <w:rPr>
          <w:color w:val="000000"/>
        </w:rPr>
        <w:t xml:space="preserve">, with a view to providing comfort to banks on their liquidity requirements, banks are </w:t>
      </w:r>
      <w:r w:rsidRPr="00BE0E8C">
        <w:rPr>
          <w:color w:val="000000"/>
        </w:rPr>
        <w:lastRenderedPageBreak/>
        <w:t>allowed to continue with the MSF relaxation for a further period of six months, i.e., up to September 30, 2021.</w:t>
      </w:r>
    </w:p>
    <w:p w:rsidR="00E03DB7" w:rsidRDefault="00E03DB7" w:rsidP="00E03DB7"/>
    <w:p w:rsidR="00E03DB7" w:rsidRDefault="00E03DB7" w:rsidP="00E03DB7"/>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Maintenance of Cash Reserve Ratio (CRR)</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 xml:space="preserve">RBI/2020-21/90 </w:t>
      </w:r>
      <w:proofErr w:type="gramStart"/>
      <w:r w:rsidRPr="00BE0E8C">
        <w:rPr>
          <w:b/>
          <w:color w:val="000000"/>
        </w:rPr>
        <w:t>DOR.No.Ret.BC</w:t>
      </w:r>
      <w:proofErr w:type="gramEnd"/>
      <w:r w:rsidRPr="00BE0E8C">
        <w:rPr>
          <w:b/>
          <w:color w:val="000000"/>
        </w:rPr>
        <w:t>.35/12.01.001/2020-21</w:t>
      </w:r>
      <w:r w:rsidRPr="00BE0E8C">
        <w:rPr>
          <w:b/>
          <w:color w:val="000000"/>
        </w:rPr>
        <w:tab/>
      </w:r>
      <w:r w:rsidRPr="00BE0E8C">
        <w:rPr>
          <w:b/>
          <w:color w:val="000000"/>
        </w:rPr>
        <w:tab/>
      </w:r>
      <w:r w:rsidRPr="00BE0E8C">
        <w:rPr>
          <w:b/>
          <w:color w:val="000000"/>
        </w:rPr>
        <w:tab/>
        <w:t>February 5, 2021</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our </w:t>
      </w:r>
      <w:hyperlink r:id="rId110" w:tgtFrame="_blank" w:history="1">
        <w:r w:rsidRPr="00BE0E8C">
          <w:rPr>
            <w:rStyle w:val="Hyperlink"/>
            <w:u w:val="none"/>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111" w:tgtFrame="_blank" w:history="1">
        <w:r w:rsidRPr="00BE0E8C">
          <w:rPr>
            <w:rStyle w:val="Hyperlink"/>
            <w:u w:val="none"/>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E03DB7" w:rsidRDefault="00E03DB7" w:rsidP="00E03DB7"/>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Prudential Guidelines on Capital Adequacy and Market Discipline - New Capital Adequacy Framework (NCAF) - Eligible Credit Rating Agencies – CRISIL Ratings Limited</w:t>
      </w: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RBI/2020-21/86 DOR.No.CRE.BC.33/21.06.007/2020-21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27,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Scheduled Commercial Banks (Excluding Payment Banks, Local Area Banks and Regional Rural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the </w:t>
      </w:r>
      <w:hyperlink r:id="rId112" w:tgtFrame="_blank" w:history="1">
        <w:r w:rsidRPr="00BE0E8C">
          <w:rPr>
            <w:rStyle w:val="Hyperlink"/>
          </w:rPr>
          <w:t>Master Circular DBR.No.BP.BC.4./21.06.001/2015-16 dated July 1, 2015</w:t>
        </w:r>
      </w:hyperlink>
      <w:r w:rsidRPr="00BE0E8C">
        <w:rPr>
          <w:color w:val="000000"/>
        </w:rPr>
        <w:t> on 'Prudential Guidelines on Capital Adequacy and Market Discipline - New Capital Adequacy Framework (NCAF)’ and </w:t>
      </w:r>
      <w:hyperlink r:id="rId113" w:tgtFrame="_blank" w:history="1">
        <w:r w:rsidRPr="00BE0E8C">
          <w:rPr>
            <w:rStyle w:val="Hyperlink"/>
          </w:rPr>
          <w:t>Master Circular DBR.No.BP.BC.1/21.06.201/2015-16 dated July 1, 2015</w:t>
        </w:r>
      </w:hyperlink>
      <w:r w:rsidRPr="00BE0E8C">
        <w:rPr>
          <w:color w:val="000000"/>
        </w:rPr>
        <w:t> on Basel III Capital Regulations.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In terms of paragraph 6 of the above circulars, CRISIL Limited has been accredited for the purpose of risk weighting the banks' claims for capital adequacy purposes along with other credit rating agencies (CRAs) registered with Securities and Exchange Board of India (SEBI). The rating business of CRISIL Limited has since been transferred to CRISIL Ratings Limited, a wholly owned subsidiary of CRISIL Limited in compliance with SEBI’s notification dated September 11, 2018 read with SEBI’s circular dated September 19, 2018. Banks may therefore, use the ratings of the CRISIL Ratings Limited for the purpose of risk weighting their claims for capital adequacy purposes. The rating-risk weight mapping for the long term and short-term ratings assigned by CRISIL Ratings Limited will be the same as was in the case of CRISIL Limited and there is no change in the rating symbols earlier assigned by CRISIL Limited.</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lastRenderedPageBreak/>
        <w:t>3. All other provisions regarding external credit ratings stipulated in the aforementioned Master Circulars remain unchanged.</w:t>
      </w:r>
    </w:p>
    <w:p w:rsidR="00E03DB7" w:rsidRDefault="00E03DB7" w:rsidP="00E03DB7"/>
    <w:p w:rsidR="00E03DB7" w:rsidRDefault="00E03DB7" w:rsidP="00E03DB7"/>
    <w:p w:rsidR="00E03DB7" w:rsidRDefault="00E03DB7" w:rsidP="00E03DB7">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RBI releases 2020 list of Domestic Systemically Important Banks (D-SIBs)</w:t>
      </w:r>
      <w:r>
        <w:rPr>
          <w:rFonts w:ascii="Times New Roman" w:hAnsi="Times New Roman" w:cs="Times New Roman"/>
          <w:b/>
          <w:color w:val="000000"/>
          <w:sz w:val="24"/>
          <w:szCs w:val="24"/>
        </w:rPr>
        <w:tab/>
      </w:r>
    </w:p>
    <w:p w:rsidR="00E03DB7" w:rsidRDefault="00E03DB7" w:rsidP="00E03DB7">
      <w:pPr>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Date: </w:t>
      </w:r>
      <w:r w:rsidRPr="00C203D8">
        <w:rPr>
          <w:rFonts w:ascii="Times New Roman" w:hAnsi="Times New Roman" w:cs="Times New Roman"/>
          <w:b/>
          <w:bCs/>
          <w:color w:val="000000"/>
          <w:sz w:val="24"/>
          <w:szCs w:val="24"/>
        </w:rPr>
        <w:t>Jan 19, 2021</w:t>
      </w:r>
    </w:p>
    <w:p w:rsidR="00E03DB7" w:rsidRDefault="00E03DB7" w:rsidP="00E03DB7">
      <w:pPr>
        <w:spacing w:after="0" w:line="240" w:lineRule="auto"/>
        <w:jc w:val="both"/>
        <w:rPr>
          <w:rFonts w:ascii="Times New Roman" w:hAnsi="Times New Roman" w:cs="Times New Roman"/>
          <w:b/>
          <w:bCs/>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SBI, ICICI Bank, and HDFC Bank continue to be identified as Domestic Systemically Important Banks (D-SIBs), under the same bucketing structure as in the 2018 list of D-SIBs. The additional Common Equity Tier 1 (CET1) requirement for D-SIBs was phased-in from April 1, 2016 and became fully effective from April 1, 2019. The additional CET1 requirement will be in addition to the capital conservation buffer.</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list of D-SIBs is as follows:</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4"/>
        <w:gridCol w:w="3380"/>
        <w:gridCol w:w="3705"/>
      </w:tblGrid>
      <w:tr w:rsidR="00E03DB7" w:rsidRPr="00C203D8" w:rsidTr="00C20495">
        <w:trPr>
          <w:trHeight w:val="955"/>
          <w:jc w:val="center"/>
        </w:trPr>
        <w:tc>
          <w:tcPr>
            <w:tcW w:w="642" w:type="pct"/>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Bucket</w:t>
            </w:r>
          </w:p>
        </w:tc>
        <w:tc>
          <w:tcPr>
            <w:tcW w:w="2079" w:type="pct"/>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Banks</w:t>
            </w:r>
          </w:p>
        </w:tc>
        <w:tc>
          <w:tcPr>
            <w:tcW w:w="2279" w:type="pct"/>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Additional Common Equity Tier 1 requirement as a percentage of Risk Weighted Assets (RWAs)</w:t>
            </w:r>
          </w:p>
        </w:tc>
      </w:tr>
      <w:tr w:rsidR="00E03DB7" w:rsidRPr="00C203D8" w:rsidTr="00C20495">
        <w:trPr>
          <w:trHeight w:val="232"/>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5</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r>
      <w:tr w:rsidR="00E03DB7" w:rsidRPr="00C203D8" w:rsidTr="00C20495">
        <w:trPr>
          <w:trHeight w:val="232"/>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0.80%</w:t>
            </w:r>
          </w:p>
        </w:tc>
      </w:tr>
      <w:tr w:rsidR="00E03DB7" w:rsidRPr="00C203D8" w:rsidTr="00C20495">
        <w:trPr>
          <w:trHeight w:val="245"/>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State Bank of India</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0.60%</w:t>
            </w:r>
          </w:p>
        </w:tc>
      </w:tr>
      <w:tr w:rsidR="00E03DB7" w:rsidRPr="00C203D8" w:rsidTr="00C20495">
        <w:trPr>
          <w:trHeight w:val="232"/>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0.40%</w:t>
            </w:r>
          </w:p>
        </w:tc>
      </w:tr>
      <w:tr w:rsidR="00E03DB7" w:rsidRPr="00C203D8" w:rsidTr="00C20495">
        <w:trPr>
          <w:trHeight w:val="245"/>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ICICI Bank, HDFC Bank</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0.20%</w:t>
            </w:r>
          </w:p>
        </w:tc>
      </w:tr>
    </w:tbl>
    <w:p w:rsidR="00E03DB7"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Background:</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had issued the Framework for dealing with Domestic Systemically Important Banks (D-SIBs) on July 22, 2014. The D-SIB framework requires the Reserve Bank to disclose the names of banks designated as D-SIBs starting from 2015 and place these banks in appropriate buckets depending upon their Systemic Importance Scores (SISs). Based on the bucket in which a D-SIB is placed, an additional common equity requirement has to be applied to it. In case a foreign bank having branch presence in India is a Global Systemically Important Bank (G-SIB), it has to maintain additional CET1 capital surcharge in India as applicable to it as a G-SIB, proportionate to its Risk Weighted Assets (RWAs) in India, i.e., additional CET1 buffer prescribed by the home regulator (amount) multiplied by India RWA as per consolidated global Group books divided by total consolidated global Group RWA.</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Based on the methodology provided in the D-SIB framework and data collected from banks as on March 31, 2015 and March 31, 2016, the Reserve Bank had announced State Bank of India and ICICI Bank Ltd. as D-SIBs on August 31, 2015 and August 25, 2016, respectively. Based on data collected from banks as on March 31, 2017 and March 31, 2018, the Reserve Bank had announced State Bank of India, ICICI Bank Ltd. and HDFC Bank Ltd. as D-SIBs on September 04, 2017 and March 14, 2019 respectively. Current update is based on the data collected from banks as on March 31, 2020.</w:t>
      </w:r>
    </w:p>
    <w:p w:rsidR="00E03DB7" w:rsidRPr="00C203D8" w:rsidRDefault="00E03DB7" w:rsidP="00E03DB7">
      <w:pPr>
        <w:spacing w:after="0" w:line="240" w:lineRule="auto"/>
        <w:jc w:val="both"/>
        <w:rPr>
          <w:rFonts w:ascii="Times New Roman" w:hAnsi="Times New Roman" w:cs="Times New Roman"/>
          <w:b/>
          <w:color w:val="000000"/>
          <w:sz w:val="24"/>
          <w:szCs w:val="24"/>
        </w:rPr>
      </w:pPr>
    </w:p>
    <w:p w:rsidR="00E03DB7" w:rsidRDefault="00E03DB7" w:rsidP="00E03DB7">
      <w:pPr>
        <w:rPr>
          <w:rFonts w:ascii="Times New Roman" w:hAnsi="Times New Roman" w:cs="Times New Roman"/>
          <w:b/>
          <w:color w:val="000000"/>
          <w:sz w:val="24"/>
          <w:szCs w:val="24"/>
        </w:rPr>
      </w:pPr>
      <w:r w:rsidRPr="005040B9">
        <w:rPr>
          <w:rFonts w:ascii="Times New Roman" w:hAnsi="Times New Roman" w:cs="Times New Roman"/>
          <w:color w:val="000000"/>
          <w:sz w:val="24"/>
          <w:szCs w:val="24"/>
        </w:rPr>
        <w:br w:type="page"/>
      </w:r>
      <w:r w:rsidRPr="003B3D9C">
        <w:rPr>
          <w:rFonts w:ascii="Times New Roman" w:hAnsi="Times New Roman" w:cs="Times New Roman"/>
          <w:b/>
          <w:color w:val="000000"/>
          <w:sz w:val="24"/>
          <w:szCs w:val="24"/>
        </w:rPr>
        <w:lastRenderedPageBreak/>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E03DB7" w:rsidRDefault="00E03DB7" w:rsidP="00E03DB7">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E03DB7" w:rsidRPr="003B3D9C" w:rsidRDefault="00E03DB7" w:rsidP="00E03DB7">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E03DB7" w:rsidRPr="003B3D9C" w:rsidRDefault="00E03DB7" w:rsidP="00E03DB7">
      <w:pPr>
        <w:pStyle w:val="ListParagraph"/>
        <w:numPr>
          <w:ilvl w:val="0"/>
          <w:numId w:val="33"/>
        </w:numPr>
        <w:spacing w:after="0" w:line="240" w:lineRule="auto"/>
        <w:jc w:val="both"/>
        <w:rPr>
          <w:rFonts w:ascii="Times New Roman" w:hAnsi="Times New Roman" w:cs="Times New Roman"/>
          <w:color w:val="000000"/>
          <w:sz w:val="24"/>
          <w:szCs w:val="24"/>
        </w:rPr>
      </w:pPr>
      <w:proofErr w:type="spellStart"/>
      <w:r w:rsidRPr="003B3D9C">
        <w:rPr>
          <w:rFonts w:ascii="Times New Roman" w:hAnsi="Times New Roman" w:cs="Times New Roman"/>
          <w:color w:val="000000"/>
          <w:sz w:val="24"/>
          <w:szCs w:val="24"/>
        </w:rPr>
        <w:t>were</w:t>
      </w:r>
      <w:proofErr w:type="spellEnd"/>
      <w:r w:rsidRPr="003B3D9C">
        <w:rPr>
          <w:rFonts w:ascii="Times New Roman" w:hAnsi="Times New Roman" w:cs="Times New Roman"/>
          <w:color w:val="000000"/>
          <w:sz w:val="24"/>
          <w:szCs w:val="24"/>
        </w:rPr>
        <w:t xml:space="preserve"> not being interpreted uniformly by all practitioners; </w:t>
      </w:r>
    </w:p>
    <w:p w:rsidR="00E03DB7" w:rsidRPr="003B3D9C" w:rsidRDefault="00E03DB7" w:rsidP="00E03DB7">
      <w:pPr>
        <w:pStyle w:val="ListParagraph"/>
        <w:numPr>
          <w:ilvl w:val="0"/>
          <w:numId w:val="3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E03DB7" w:rsidRPr="003B3D9C" w:rsidRDefault="00E03DB7" w:rsidP="00E03DB7">
      <w:pPr>
        <w:pStyle w:val="ListParagraph"/>
        <w:numPr>
          <w:ilvl w:val="0"/>
          <w:numId w:val="3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E03DB7" w:rsidRDefault="00E03DB7" w:rsidP="00E03DB7">
      <w:pPr>
        <w:spacing w:after="0" w:line="240" w:lineRule="auto"/>
        <w:jc w:val="both"/>
        <w:rPr>
          <w:rFonts w:ascii="Times New Roman" w:hAnsi="Times New Roman" w:cs="Times New Roman"/>
          <w:color w:val="000000"/>
          <w:sz w:val="24"/>
          <w:szCs w:val="24"/>
        </w:rPr>
      </w:pPr>
    </w:p>
    <w:p w:rsidR="00E03DB7" w:rsidRPr="003B3D9C" w:rsidRDefault="00E03DB7" w:rsidP="00E03DB7">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E03DB7" w:rsidRDefault="00E03DB7" w:rsidP="00E03DB7">
      <w:pPr>
        <w:spacing w:after="0" w:line="240" w:lineRule="auto"/>
        <w:jc w:val="both"/>
        <w:rPr>
          <w:rFonts w:ascii="Times New Roman" w:hAnsi="Times New Roman" w:cs="Times New Roman"/>
          <w:color w:val="000000"/>
          <w:sz w:val="24"/>
          <w:szCs w:val="24"/>
        </w:rPr>
      </w:pPr>
    </w:p>
    <w:p w:rsidR="00E03DB7" w:rsidRDefault="00E03DB7" w:rsidP="00E03DB7">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The RBI vide their letter </w:t>
      </w:r>
      <w:proofErr w:type="spellStart"/>
      <w:r w:rsidRPr="003B3D9C">
        <w:rPr>
          <w:rFonts w:ascii="Times New Roman" w:hAnsi="Times New Roman" w:cs="Times New Roman"/>
          <w:color w:val="000000"/>
          <w:sz w:val="24"/>
          <w:szCs w:val="24"/>
        </w:rPr>
        <w:t>FED.CO.Trade</w:t>
      </w:r>
      <w:proofErr w:type="spellEnd"/>
      <w:r w:rsidRPr="003B3D9C">
        <w:rPr>
          <w:rFonts w:ascii="Times New Roman" w:hAnsi="Times New Roman" w:cs="Times New Roman"/>
          <w:color w:val="000000"/>
          <w:sz w:val="24"/>
          <w:szCs w:val="24"/>
        </w:rPr>
        <w:t>/1875/05.31.077/2020-21 dated March 05, 2021 have clarified these terms as used in various guidelines, which is enclosed herewith for your record and compliance.</w:t>
      </w:r>
    </w:p>
    <w:p w:rsidR="00E03DB7" w:rsidRDefault="00E03DB7" w:rsidP="00E03DB7">
      <w:pPr>
        <w:spacing w:after="0" w:line="240" w:lineRule="auto"/>
        <w:jc w:val="both"/>
        <w:rPr>
          <w:rFonts w:ascii="Times New Roman" w:hAnsi="Times New Roman" w:cs="Times New Roman"/>
          <w:color w:val="000000"/>
          <w:sz w:val="24"/>
          <w:szCs w:val="24"/>
        </w:rPr>
      </w:pPr>
    </w:p>
    <w:p w:rsidR="00E03DB7" w:rsidRDefault="00E03DB7" w:rsidP="00E03DB7">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Annexure to FEDAI Circular SPL-01/</w:t>
      </w:r>
      <w:proofErr w:type="spellStart"/>
      <w:r w:rsidRPr="003B3D9C">
        <w:rPr>
          <w:rFonts w:ascii="Times New Roman" w:hAnsi="Times New Roman" w:cs="Times New Roman"/>
          <w:color w:val="000000"/>
          <w:sz w:val="24"/>
          <w:szCs w:val="24"/>
        </w:rPr>
        <w:t>Exp</w:t>
      </w:r>
      <w:proofErr w:type="spellEnd"/>
      <w:r w:rsidRPr="003B3D9C">
        <w:rPr>
          <w:rFonts w:ascii="Times New Roman" w:hAnsi="Times New Roman" w:cs="Times New Roman"/>
          <w:color w:val="000000"/>
          <w:sz w:val="24"/>
          <w:szCs w:val="24"/>
        </w:rPr>
        <w:t xml:space="preserve">-imp/2021 dated 09th March2021: </w:t>
      </w:r>
      <w:r>
        <w:rPr>
          <w:rFonts w:ascii="Times New Roman" w:hAnsi="Times New Roman" w:cs="Times New Roman"/>
          <w:color w:val="000000"/>
          <w:sz w:val="24"/>
          <w:szCs w:val="24"/>
        </w:rPr>
        <w:t xml:space="preserve"> </w:t>
      </w:r>
      <w:hyperlink r:id="rId114" w:history="1">
        <w:r w:rsidRPr="003A2F80">
          <w:rPr>
            <w:rStyle w:val="Hyperlink"/>
            <w:rFonts w:ascii="Times New Roman" w:hAnsi="Times New Roman" w:cs="Times New Roman"/>
            <w:sz w:val="24"/>
            <w:szCs w:val="24"/>
          </w:rPr>
          <w:t>https://www.fedai.org.in/DocumentUploadFiles/SpecialCircular/SPL-01.2021dt.09March2021.pdf</w:t>
        </w:r>
      </w:hyperlink>
    </w:p>
    <w:p w:rsidR="00E03DB7" w:rsidRDefault="00E03DB7" w:rsidP="00E03DB7"/>
    <w:sectPr w:rsidR="00E03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76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593540C"/>
    <w:multiLevelType w:val="hybridMultilevel"/>
    <w:tmpl w:val="374CD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C936F64"/>
    <w:multiLevelType w:val="multilevel"/>
    <w:tmpl w:val="1CB813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1EE5605B"/>
    <w:multiLevelType w:val="hybridMultilevel"/>
    <w:tmpl w:val="973EA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35007606"/>
    <w:multiLevelType w:val="hybridMultilevel"/>
    <w:tmpl w:val="8FB0F85A"/>
    <w:lvl w:ilvl="0" w:tplc="40090019">
      <w:start w:val="1"/>
      <w:numFmt w:val="lowerLetter"/>
      <w:lvlText w:val="%1."/>
      <w:lvlJc w:val="left"/>
      <w:pPr>
        <w:ind w:left="720" w:hanging="360"/>
      </w:pPr>
    </w:lvl>
    <w:lvl w:ilvl="1" w:tplc="4C46A37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0" w15:restartNumberingAfterBreak="0">
    <w:nsid w:val="3CA67D62"/>
    <w:multiLevelType w:val="multilevel"/>
    <w:tmpl w:val="DB6C7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DC4FE4"/>
    <w:multiLevelType w:val="hybridMultilevel"/>
    <w:tmpl w:val="572CCDD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ABB3CB7"/>
    <w:multiLevelType w:val="hybridMultilevel"/>
    <w:tmpl w:val="E6D61E3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4B29361F"/>
    <w:multiLevelType w:val="multilevel"/>
    <w:tmpl w:val="01661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9" w15:restartNumberingAfterBreak="0">
    <w:nsid w:val="56E95E26"/>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2" w15:restartNumberingAfterBreak="0">
    <w:nsid w:val="6BF55EE6"/>
    <w:multiLevelType w:val="multilevel"/>
    <w:tmpl w:val="B1F21D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3" w15:restartNumberingAfterBreak="0">
    <w:nsid w:val="6CF363C0"/>
    <w:multiLevelType w:val="multilevel"/>
    <w:tmpl w:val="181403C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4"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68527EC"/>
    <w:multiLevelType w:val="hybridMultilevel"/>
    <w:tmpl w:val="8AECDF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A01070"/>
    <w:multiLevelType w:val="multilevel"/>
    <w:tmpl w:val="B83A1DC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7C8D7A1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8"/>
  </w:num>
  <w:num w:numId="3">
    <w:abstractNumId w:val="30"/>
  </w:num>
  <w:num w:numId="4">
    <w:abstractNumId w:val="11"/>
  </w:num>
  <w:num w:numId="5">
    <w:abstractNumId w:val="17"/>
  </w:num>
  <w:num w:numId="6">
    <w:abstractNumId w:val="14"/>
  </w:num>
  <w:num w:numId="7">
    <w:abstractNumId w:val="3"/>
  </w:num>
  <w:num w:numId="8">
    <w:abstractNumId w:val="25"/>
  </w:num>
  <w:num w:numId="9">
    <w:abstractNumId w:val="26"/>
  </w:num>
  <w:num w:numId="10">
    <w:abstractNumId w:val="10"/>
  </w:num>
  <w:num w:numId="11">
    <w:abstractNumId w:val="9"/>
  </w:num>
  <w:num w:numId="12">
    <w:abstractNumId w:val="18"/>
  </w:num>
  <w:num w:numId="13">
    <w:abstractNumId w:val="21"/>
  </w:num>
  <w:num w:numId="14">
    <w:abstractNumId w:val="23"/>
  </w:num>
  <w:num w:numId="15">
    <w:abstractNumId w:val="4"/>
  </w:num>
  <w:num w:numId="16">
    <w:abstractNumId w:val="22"/>
  </w:num>
  <w:num w:numId="17">
    <w:abstractNumId w:val="19"/>
  </w:num>
  <w:num w:numId="18">
    <w:abstractNumId w:val="32"/>
  </w:num>
  <w:num w:numId="19">
    <w:abstractNumId w:val="0"/>
  </w:num>
  <w:num w:numId="20">
    <w:abstractNumId w:val="12"/>
  </w:num>
  <w:num w:numId="21">
    <w:abstractNumId w:val="27"/>
  </w:num>
  <w:num w:numId="22">
    <w:abstractNumId w:val="2"/>
  </w:num>
  <w:num w:numId="23">
    <w:abstractNumId w:val="7"/>
  </w:num>
  <w:num w:numId="24">
    <w:abstractNumId w:val="5"/>
  </w:num>
  <w:num w:numId="25">
    <w:abstractNumId w:val="16"/>
  </w:num>
  <w:num w:numId="26">
    <w:abstractNumId w:val="20"/>
  </w:num>
  <w:num w:numId="27">
    <w:abstractNumId w:val="29"/>
  </w:num>
  <w:num w:numId="28">
    <w:abstractNumId w:val="1"/>
  </w:num>
  <w:num w:numId="29">
    <w:abstractNumId w:val="24"/>
  </w:num>
  <w:num w:numId="30">
    <w:abstractNumId w:val="31"/>
  </w:num>
  <w:num w:numId="31">
    <w:abstractNumId w:val="15"/>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61"/>
    <w:rsid w:val="002E2BDE"/>
    <w:rsid w:val="00497E16"/>
    <w:rsid w:val="00A90AED"/>
    <w:rsid w:val="00B74F61"/>
    <w:rsid w:val="00E03DB7"/>
    <w:rsid w:val="00E917D6"/>
    <w:rsid w:val="00F74A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C798"/>
  <w15:chartTrackingRefBased/>
  <w15:docId w15:val="{5A1E1A12-86BC-4814-ABFA-2E0E053C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BD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2E2B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E2BDE"/>
    <w:rPr>
      <w:color w:val="0000FF"/>
      <w:u w:val="single"/>
    </w:rPr>
  </w:style>
  <w:style w:type="character" w:customStyle="1" w:styleId="head1">
    <w:name w:val="head1"/>
    <w:basedOn w:val="DefaultParagraphFont"/>
    <w:rsid w:val="002E2BDE"/>
  </w:style>
  <w:style w:type="paragraph" w:styleId="ListParagraph">
    <w:name w:val="List Paragraph"/>
    <w:basedOn w:val="Normal"/>
    <w:uiPriority w:val="34"/>
    <w:qFormat/>
    <w:rsid w:val="00F7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BS_PressReleaseDisplay.aspx?prid=47225" TargetMode="External"/><Relationship Id="rId21" Type="http://schemas.openxmlformats.org/officeDocument/2006/relationships/hyperlink" Target="https://www.rbi.org.in/Scripts/NotificationUser.aspx?Id=12120&amp;Mode=0" TargetMode="External"/><Relationship Id="rId42" Type="http://schemas.openxmlformats.org/officeDocument/2006/relationships/hyperlink" Target="https://www.rbi.org.in/Scripts/NotificationUser.aspx?Id=11866&amp;Mode=0" TargetMode="External"/><Relationship Id="rId47" Type="http://schemas.openxmlformats.org/officeDocument/2006/relationships/hyperlink" Target="https://www.rbi.org.in/Scripts/BS_FemaNotifications.aspx?Id=2126" TargetMode="External"/><Relationship Id="rId63" Type="http://schemas.openxmlformats.org/officeDocument/2006/relationships/hyperlink" Target="https://rbidocs.rbi.org.in/rdocs/content/pdfs/BILA30032021_A2.pdf" TargetMode="External"/><Relationship Id="rId68" Type="http://schemas.openxmlformats.org/officeDocument/2006/relationships/hyperlink" Target="https://rbi.org.in/Scripts/NotificationUser.aspx?Id=10276&amp;Mode=0" TargetMode="External"/><Relationship Id="rId84" Type="http://schemas.openxmlformats.org/officeDocument/2006/relationships/hyperlink" Target="https://www.rbi.org.in/Scripts/NotificationUser.aspx?Id=12032&amp;Mode=0" TargetMode="External"/><Relationship Id="rId89" Type="http://schemas.openxmlformats.org/officeDocument/2006/relationships/hyperlink" Target="https://www.rbi.org.in/Scripts/NotificationUser.aspx?Id=12032&amp;Mode=0" TargetMode="External"/><Relationship Id="rId112" Type="http://schemas.openxmlformats.org/officeDocument/2006/relationships/hyperlink" Target="https://www.rbi.org.in/Scripts/BS_ViewMasCirculardetails.aspx?id=9893" TargetMode="External"/><Relationship Id="rId16" Type="http://schemas.openxmlformats.org/officeDocument/2006/relationships/hyperlink" Target="mailto:reportfmd@rbi.org.in" TargetMode="External"/><Relationship Id="rId107" Type="http://schemas.openxmlformats.org/officeDocument/2006/relationships/hyperlink" Target="https://www.rbi.org.in/Scripts/NotificationUser.aspx?Id=12004&amp;Mode=0" TargetMode="External"/><Relationship Id="rId11" Type="http://schemas.openxmlformats.org/officeDocument/2006/relationships/hyperlink" Target="https://rbi.org.in/Scripts/NotificationUser.aspx?Id=11385&amp;Mode=0" TargetMode="External"/><Relationship Id="rId24" Type="http://schemas.openxmlformats.org/officeDocument/2006/relationships/hyperlink" Target="https://www.rbi.org.in/Scripts/NotificationUser.aspx?Id=12011&amp;Mode=0" TargetMode="External"/><Relationship Id="rId32" Type="http://schemas.openxmlformats.org/officeDocument/2006/relationships/hyperlink" Target="https://www.rbi.org.in/Scripts/BS_ViewMasCirculardetails.aspx?id=9874" TargetMode="External"/><Relationship Id="rId37" Type="http://schemas.openxmlformats.org/officeDocument/2006/relationships/hyperlink" Target="https://www.rbi.org.in/Scripts/NotificationUser.aspx?Id=11441&amp;Mode=0" TargetMode="External"/><Relationship Id="rId40" Type="http://schemas.openxmlformats.org/officeDocument/2006/relationships/hyperlink" Target="https://www.rbi.org.in/Scripts/NotificationUser.aspx?Id=11849&amp;Mode=0" TargetMode="External"/><Relationship Id="rId45" Type="http://schemas.openxmlformats.org/officeDocument/2006/relationships/hyperlink" Target="https://www.rbi.org.in/Scripts/NotificationUser.aspx?Id=12049&amp;Mode=0" TargetMode="External"/><Relationship Id="rId53" Type="http://schemas.openxmlformats.org/officeDocument/2006/relationships/hyperlink" Target="https://www.rbi.org.in/scripts/NotificationUser.aspx?Id=8737&amp;Mode=0" TargetMode="External"/><Relationship Id="rId58" Type="http://schemas.openxmlformats.org/officeDocument/2006/relationships/hyperlink" Target="https://www.rbi.org.in/Scripts/NotificationUser.aspx?Id=12049&amp;Mode=0" TargetMode="External"/><Relationship Id="rId66" Type="http://schemas.openxmlformats.org/officeDocument/2006/relationships/hyperlink" Target="https://www.rbi.org.in/Scripts/BS_ViewMasCirculardetails.aspx?id=9893" TargetMode="External"/><Relationship Id="rId74" Type="http://schemas.openxmlformats.org/officeDocument/2006/relationships/hyperlink" Target="https://rbi.org.in/Scripts/NotificationUser.aspx?Id=8968&amp;Mode=0" TargetMode="External"/><Relationship Id="rId79" Type="http://schemas.openxmlformats.org/officeDocument/2006/relationships/hyperlink" Target="https://www.rbi.org.in/Scripts/BS_PressReleaseDisplay.aspx?prid=51078" TargetMode="External"/><Relationship Id="rId87" Type="http://schemas.openxmlformats.org/officeDocument/2006/relationships/hyperlink" Target="https://www.rbi.org.in/Scripts/NotificationUser.aspx?Id=12032&amp;Mode=0" TargetMode="External"/><Relationship Id="rId102" Type="http://schemas.openxmlformats.org/officeDocument/2006/relationships/hyperlink" Target="https://www.rbi.org.in/Scripts/NotificationUser.aspx?Id=11982&amp;Mode=0" TargetMode="External"/><Relationship Id="rId110" Type="http://schemas.openxmlformats.org/officeDocument/2006/relationships/hyperlink" Target="https://www.rbi.org.in/Scripts/NotificationUser.aspx?Id=11841&amp;Mode=0" TargetMode="External"/><Relationship Id="rId115" Type="http://schemas.openxmlformats.org/officeDocument/2006/relationships/fontTable" Target="fontTable.xml"/><Relationship Id="rId5" Type="http://schemas.openxmlformats.org/officeDocument/2006/relationships/hyperlink" Target="https://rbi.org.in/Scripts/BS_PressReleaseDisplay.aspx?prid=47226" TargetMode="External"/><Relationship Id="rId61" Type="http://schemas.openxmlformats.org/officeDocument/2006/relationships/hyperlink" Target="https://rbidocs.rbi.org.in/rdocs/content/pdfs/BILA30032021_A1.pdf" TargetMode="External"/><Relationship Id="rId82" Type="http://schemas.openxmlformats.org/officeDocument/2006/relationships/hyperlink" Target="https://www.rbi.org.in/Scripts/NotificationUser.aspx?Id=12032&amp;Mode=0" TargetMode="External"/><Relationship Id="rId90" Type="http://schemas.openxmlformats.org/officeDocument/2006/relationships/hyperlink" Target="https://www.rbi.org.in/Scripts/NotificationUser.aspx?Id=12032&amp;Mode=0" TargetMode="External"/><Relationship Id="rId95" Type="http://schemas.openxmlformats.org/officeDocument/2006/relationships/hyperlink" Target="https://www.rbi.org.in/Scripts/BS_PressReleaseDisplay.aspx?prid=51078" TargetMode="External"/><Relationship Id="rId19" Type="http://schemas.openxmlformats.org/officeDocument/2006/relationships/hyperlink" Target="https://rbi.org.in/Scripts/NotificationUser.aspx?Id=12006&amp;Mode=0" TargetMode="External"/><Relationship Id="rId14" Type="http://schemas.openxmlformats.org/officeDocument/2006/relationships/hyperlink" Target="https://www.rbi.org.in/Scripts/NotificationUser.aspx?Id=12061&amp;Mode=0" TargetMode="External"/><Relationship Id="rId22" Type="http://schemas.openxmlformats.org/officeDocument/2006/relationships/hyperlink" Target="https://www.rbi.org.in/Scripts/NotificationUser.aspx?Id=1020&amp;Mode=0" TargetMode="External"/><Relationship Id="rId27" Type="http://schemas.openxmlformats.org/officeDocument/2006/relationships/hyperlink" Target="https://www.rbi.org.in/Scripts/BS_PressReleaseDisplay.aspx?prid=51684" TargetMode="External"/><Relationship Id="rId30" Type="http://schemas.openxmlformats.org/officeDocument/2006/relationships/hyperlink" Target="https://www.rbi.org.in/Scripts/BS_PressReleaseDisplay.aspx?prid=47408" TargetMode="External"/><Relationship Id="rId35" Type="http://schemas.openxmlformats.org/officeDocument/2006/relationships/hyperlink" Target="https://www.rbi.org.in/Scripts/BS_PressReleaseDisplay.aspx?prid=51684" TargetMode="External"/><Relationship Id="rId43" Type="http://schemas.openxmlformats.org/officeDocument/2006/relationships/hyperlink" Target="https://www.rbi.org.in/Scripts/NotificationUser.aspx?Id=12049&amp;Mode=0" TargetMode="External"/><Relationship Id="rId48" Type="http://schemas.openxmlformats.org/officeDocument/2006/relationships/hyperlink" Target="https://www.rbi.org.in/Scripts/BS_FemaNotifications.aspx?Id=2126" TargetMode="External"/><Relationship Id="rId56" Type="http://schemas.openxmlformats.org/officeDocument/2006/relationships/hyperlink" Target="https://rbidocs.rbi.org.in/rdocs/content/pdfs/396FEMA17102019.pdf" TargetMode="External"/><Relationship Id="rId64" Type="http://schemas.openxmlformats.org/officeDocument/2006/relationships/hyperlink" Target="https://www.rbi.org.in/Scripts/BS_ViewMasCirculardetails.aspx?id=9908" TargetMode="External"/><Relationship Id="rId69" Type="http://schemas.openxmlformats.org/officeDocument/2006/relationships/hyperlink" Target="https://bop.rbi.org.in/" TargetMode="External"/><Relationship Id="rId77" Type="http://schemas.openxmlformats.org/officeDocument/2006/relationships/hyperlink" Target="https://www.rbi.org.in/Scripts/NotificationUser.aspx?Id=10147&amp;Mode=0" TargetMode="External"/><Relationship Id="rId100" Type="http://schemas.openxmlformats.org/officeDocument/2006/relationships/hyperlink" Target="https://www.rbi.org.in/Scripts/NotificationUser.aspx?Id=11971&amp;Mode=0" TargetMode="External"/><Relationship Id="rId105" Type="http://schemas.openxmlformats.org/officeDocument/2006/relationships/hyperlink" Target="https://www.rbi.org.in/Scripts/BS_ViewMasCirculardetails.aspx?id=9859" TargetMode="External"/><Relationship Id="rId113" Type="http://schemas.openxmlformats.org/officeDocument/2006/relationships/hyperlink" Target="https://www.rbi.org.in/Scripts/BS_ViewMasCirculardetails.aspx?id=9859" TargetMode="External"/><Relationship Id="rId8" Type="http://schemas.openxmlformats.org/officeDocument/2006/relationships/hyperlink" Target="https://rbi.org.in/Scripts/NotificationUser.aspx?Id=10495&amp;Mode=0" TargetMode="External"/><Relationship Id="rId51" Type="http://schemas.openxmlformats.org/officeDocument/2006/relationships/hyperlink" Target="https://www.rbi.org.in/scripts/NotificationUser.aspx?Id=3334&amp;Mode=0" TargetMode="External"/><Relationship Id="rId72" Type="http://schemas.openxmlformats.org/officeDocument/2006/relationships/hyperlink" Target="mailto:bkccard@rbi.org.in" TargetMode="External"/><Relationship Id="rId80" Type="http://schemas.openxmlformats.org/officeDocument/2006/relationships/hyperlink" Target="https://www.rbi.org.in/Scripts/NotificationUser.aspx?Id=11303&amp;Mode=0" TargetMode="External"/><Relationship Id="rId85" Type="http://schemas.openxmlformats.org/officeDocument/2006/relationships/hyperlink" Target="https://www.rbi.org.in/Scripts/NotificationUser.aspx?Id=12032&amp;Mode=0" TargetMode="External"/><Relationship Id="rId93" Type="http://schemas.openxmlformats.org/officeDocument/2006/relationships/hyperlink" Target="https://www.rbi.org.in/Scripts/NotificationUser.aspx?Id=12032&amp;Mode=0" TargetMode="External"/><Relationship Id="rId98" Type="http://schemas.openxmlformats.org/officeDocument/2006/relationships/hyperlink" Target="https://rbidocs.rbi.org.in/rdocs/content/pdfs/AnnexI_15022021.pdf" TargetMode="External"/><Relationship Id="rId3" Type="http://schemas.openxmlformats.org/officeDocument/2006/relationships/settings" Target="settings.xml"/><Relationship Id="rId12" Type="http://schemas.openxmlformats.org/officeDocument/2006/relationships/hyperlink" Target="https://rbi.org.in/Scripts/BS_PressReleaseDisplay.aspx?prid=32615" TargetMode="External"/><Relationship Id="rId17" Type="http://schemas.openxmlformats.org/officeDocument/2006/relationships/hyperlink" Target="https://rbi.org.in/Scripts/NotificationUser.aspx?Id=10495&amp;Mode=0" TargetMode="External"/><Relationship Id="rId25" Type="http://schemas.openxmlformats.org/officeDocument/2006/relationships/hyperlink" Target="https://www.rbi.org.in/Scripts/BS_PressReleaseDisplay.aspx?prid=47226" TargetMode="External"/><Relationship Id="rId33" Type="http://schemas.openxmlformats.org/officeDocument/2006/relationships/hyperlink" Target="https://www.rbi.org.in/Scripts/NotificationUser.aspx?Id=12108&amp;Mode=0" TargetMode="External"/><Relationship Id="rId38" Type="http://schemas.openxmlformats.org/officeDocument/2006/relationships/hyperlink" Target="https://rbidocs.rbi.org.in/rdocs/content/pdfs/FEMA3(R)224052021.pdf" TargetMode="External"/><Relationship Id="rId46" Type="http://schemas.openxmlformats.org/officeDocument/2006/relationships/hyperlink" Target="https://www.rbi.org.in/Scripts/BS_ViewMasDirections.aspx?id=10637" TargetMode="External"/><Relationship Id="rId59" Type="http://schemas.openxmlformats.org/officeDocument/2006/relationships/hyperlink" Target="https://www.rbi.org.in/Scripts/NotificationUser.aspx?Id=12049&amp;Mode=0" TargetMode="External"/><Relationship Id="rId67" Type="http://schemas.openxmlformats.org/officeDocument/2006/relationships/hyperlink" Target="https://rbidocs.rbi.org.in/rdocs/content/pdfs/BILA30032021_A4.pdf" TargetMode="External"/><Relationship Id="rId103" Type="http://schemas.openxmlformats.org/officeDocument/2006/relationships/hyperlink" Target="https://www.rbi.org.in/Scripts/NotificationUser.aspx?Id=11982&amp;Mode=0" TargetMode="External"/><Relationship Id="rId108" Type="http://schemas.openxmlformats.org/officeDocument/2006/relationships/hyperlink" Target="https://www.rbi.org.in/Scripts/BS_PressReleaseDisplay.aspx?prid=50427" TargetMode="External"/><Relationship Id="rId116" Type="http://schemas.openxmlformats.org/officeDocument/2006/relationships/theme" Target="theme/theme1.xml"/><Relationship Id="rId20" Type="http://schemas.openxmlformats.org/officeDocument/2006/relationships/hyperlink" Target="https://www.rbi.org.in/Scripts/NotificationUser.aspx?Id=12061&amp;Mode=0" TargetMode="External"/><Relationship Id="rId41" Type="http://schemas.openxmlformats.org/officeDocument/2006/relationships/hyperlink" Target="https://www.rbi.org.in/Scripts/NotificationUser.aspx?Id=11850&amp;Mode=0" TargetMode="External"/><Relationship Id="rId54" Type="http://schemas.openxmlformats.org/officeDocument/2006/relationships/hyperlink" Target="https://www.rbi.org.in/scripts/NotificationUser.aspx?Id=9624&amp;Mode=0" TargetMode="External"/><Relationship Id="rId62" Type="http://schemas.openxmlformats.org/officeDocument/2006/relationships/hyperlink" Target="https://www.rbi.org.in/Scripts/NotificationUser.aspx?Id=11278&amp;Mode=0" TargetMode="External"/><Relationship Id="rId70" Type="http://schemas.openxmlformats.org/officeDocument/2006/relationships/hyperlink" Target="https://rbidocs.rbi.org.in/rdocs/content/pdfs/NT113_25032021.pdf" TargetMode="External"/><Relationship Id="rId75" Type="http://schemas.openxmlformats.org/officeDocument/2006/relationships/hyperlink" Target="https://rbi.org.in/Scripts/NotificationUser.aspx?Id=11941&amp;Mode=0" TargetMode="External"/><Relationship Id="rId83" Type="http://schemas.openxmlformats.org/officeDocument/2006/relationships/hyperlink" Target="https://www.rbi.org.in/Scripts/NotificationUser.aspx?Id=12032&amp;Mode=0" TargetMode="External"/><Relationship Id="rId88" Type="http://schemas.openxmlformats.org/officeDocument/2006/relationships/hyperlink" Target="https://www.rbi.org.in/Scripts/NotificationUser.aspx?Id=12032&amp;Mode=0" TargetMode="External"/><Relationship Id="rId91" Type="http://schemas.openxmlformats.org/officeDocument/2006/relationships/hyperlink" Target="https://www.rbi.org.in/Scripts/NotificationUser.aspx?Id=12032&amp;Mode=0" TargetMode="External"/><Relationship Id="rId96" Type="http://schemas.openxmlformats.org/officeDocument/2006/relationships/hyperlink" Target="https://www.rbi.org.in/Scripts/BS_PressReleaseDisplay.aspx?prid=51077" TargetMode="External"/><Relationship Id="rId111" Type="http://schemas.openxmlformats.org/officeDocument/2006/relationships/hyperlink" Target="https://www.rbi.org.in/Scripts/BS_PressReleaseDisplay.aspx?prid=51078" TargetMode="External"/><Relationship Id="rId1" Type="http://schemas.openxmlformats.org/officeDocument/2006/relationships/numbering" Target="numbering.xml"/><Relationship Id="rId6" Type="http://schemas.openxmlformats.org/officeDocument/2006/relationships/hyperlink" Target="https://rbi.org.in/Scripts/BS_PressReleaseDisplay.aspx?prid=47225" TargetMode="External"/><Relationship Id="rId15" Type="http://schemas.openxmlformats.org/officeDocument/2006/relationships/hyperlink" Target="mailto:reportfmd@rbi.org.in" TargetMode="External"/><Relationship Id="rId23" Type="http://schemas.openxmlformats.org/officeDocument/2006/relationships/hyperlink" Target="https://www.rbi.org.in/Scripts/NotificationUser.aspx?Id=1020&amp;Mode=0" TargetMode="External"/><Relationship Id="rId28" Type="http://schemas.openxmlformats.org/officeDocument/2006/relationships/hyperlink" Target="https://www.rbi.org.in/Scripts/BS_PressReleaseDisplay.aspx?prid=51683" TargetMode="External"/><Relationship Id="rId36" Type="http://schemas.openxmlformats.org/officeDocument/2006/relationships/hyperlink" Target="https://www.rbi.org.in/Scripts/BS_PressReleaseDisplay.aspx?prid=51683" TargetMode="External"/><Relationship Id="rId49" Type="http://schemas.openxmlformats.org/officeDocument/2006/relationships/hyperlink" Target="https://www.rbi.org.in/Scripts/BS_ViewMasDirections.aspx?id=10637" TargetMode="External"/><Relationship Id="rId57" Type="http://schemas.openxmlformats.org/officeDocument/2006/relationships/hyperlink" Target="https://www.rbi.org.in/Scripts/NotificationUser.aspx?Id=11866&amp;Mode=0" TargetMode="External"/><Relationship Id="rId106" Type="http://schemas.openxmlformats.org/officeDocument/2006/relationships/hyperlink" Target="https://www.rbi.org.in/Scripts/NotificationUser.aspx?Id=11838&amp;Mode=0" TargetMode="External"/><Relationship Id="rId114" Type="http://schemas.openxmlformats.org/officeDocument/2006/relationships/hyperlink" Target="https://www.fedai.org.in/DocumentUploadFiles/SpecialCircular/SPL-01.2021dt.09March2021.pdf" TargetMode="External"/><Relationship Id="rId10" Type="http://schemas.openxmlformats.org/officeDocument/2006/relationships/hyperlink" Target="https://rbi.org.in/Scripts/NotificationUser.aspx?Id=12006&amp;Mode=0" TargetMode="External"/><Relationship Id="rId31" Type="http://schemas.openxmlformats.org/officeDocument/2006/relationships/hyperlink" Target="https://www.rbi.org.in/Scripts/BS_PressReleaseDisplay.aspx?prid=32614" TargetMode="External"/><Relationship Id="rId44" Type="http://schemas.openxmlformats.org/officeDocument/2006/relationships/hyperlink" Target="https://www.rbi.org.in/Scripts/NotificationUser.aspx?Id=11849&amp;Mode=0" TargetMode="External"/><Relationship Id="rId52" Type="http://schemas.openxmlformats.org/officeDocument/2006/relationships/hyperlink" Target="https://www.rbi.org.in/scripts/NotificationUser.aspx?Id=6357&amp;Mode=0" TargetMode="External"/><Relationship Id="rId60" Type="http://schemas.openxmlformats.org/officeDocument/2006/relationships/hyperlink" Target="https://www.rbi.org.in/Scripts/BS_ViewMasCirculardetails.aspx?id=9859" TargetMode="External"/><Relationship Id="rId65" Type="http://schemas.openxmlformats.org/officeDocument/2006/relationships/hyperlink" Target="https://rbidocs.rbi.org.in/rdocs/content/pdfs/BILA30032021_A3.pdf" TargetMode="External"/><Relationship Id="rId73" Type="http://schemas.openxmlformats.org/officeDocument/2006/relationships/hyperlink" Target="https://rbi.org.in/Scripts/NotificationUser.aspx?Id=11827&amp;Mode=0" TargetMode="External"/><Relationship Id="rId78" Type="http://schemas.openxmlformats.org/officeDocument/2006/relationships/hyperlink" Target="https://www.rbi.org.in/Scripts/NotificationUser.aspx?Id=11303&amp;Mode=0" TargetMode="External"/><Relationship Id="rId81" Type="http://schemas.openxmlformats.org/officeDocument/2006/relationships/hyperlink" Target="https://www.rbi.org.in/Scripts/NotificationUser.aspx?Id=11303&amp;Mode=0" TargetMode="External"/><Relationship Id="rId86" Type="http://schemas.openxmlformats.org/officeDocument/2006/relationships/hyperlink" Target="https://www.rbi.org.in/Scripts/NotificationUser.aspx?Id=12032&amp;Mode=0" TargetMode="External"/><Relationship Id="rId94" Type="http://schemas.openxmlformats.org/officeDocument/2006/relationships/hyperlink" Target="https://www.rbi.org.in/Scripts/NotificationUser.aspx?Id=8914&amp;Mode=0" TargetMode="External"/><Relationship Id="rId99" Type="http://schemas.openxmlformats.org/officeDocument/2006/relationships/hyperlink" Target="https://www.rbi.org.in/Scripts/NotificationUser.aspx?Id=11278&amp;Mode=0" TargetMode="External"/><Relationship Id="rId101" Type="http://schemas.openxmlformats.org/officeDocument/2006/relationships/hyperlink" Target="https://www.rbi.org.in/Scripts/BS_PressReleaseDisplay.aspx?prid=51078" TargetMode="External"/><Relationship Id="rId4" Type="http://schemas.openxmlformats.org/officeDocument/2006/relationships/webSettings" Target="webSettings.xml"/><Relationship Id="rId9" Type="http://schemas.openxmlformats.org/officeDocument/2006/relationships/hyperlink" Target="https://rbi.org.in/Scripts/NotificationUser.aspx?Id=11405&amp;Mode=0" TargetMode="External"/><Relationship Id="rId13" Type="http://schemas.openxmlformats.org/officeDocument/2006/relationships/hyperlink" Target="https://rbi.org.in/Scripts/BS_PressReleaseDisplay.aspx?prid=32614" TargetMode="External"/><Relationship Id="rId18" Type="http://schemas.openxmlformats.org/officeDocument/2006/relationships/hyperlink" Target="https://rbi.org.in/Scripts/NotificationUser.aspx?Id=11405&amp;Mode=0" TargetMode="External"/><Relationship Id="rId39" Type="http://schemas.openxmlformats.org/officeDocument/2006/relationships/hyperlink" Target="https://www.rbi.org.in/Scripts/NotificationUser.aspx?Id=12099&amp;Mode=0" TargetMode="External"/><Relationship Id="rId109" Type="http://schemas.openxmlformats.org/officeDocument/2006/relationships/hyperlink" Target="https://www.rbi.org.in/Scripts/BS_PressReleaseDisplay.aspx?prid=51078" TargetMode="External"/><Relationship Id="rId34" Type="http://schemas.openxmlformats.org/officeDocument/2006/relationships/hyperlink" Target="https://www.rbi.org.in/Scripts/NotificationUser.aspx?Id=12108&amp;Mode=0" TargetMode="External"/><Relationship Id="rId50" Type="http://schemas.openxmlformats.org/officeDocument/2006/relationships/hyperlink" Target="https://www.rbi.org.in/scripts/NotificationUser.aspx?Id=2918&amp;Mode=0" TargetMode="External"/><Relationship Id="rId55" Type="http://schemas.openxmlformats.org/officeDocument/2006/relationships/hyperlink" Target="https://www.rbi.org.in/Scripts/NotificationUser.aspx?Id=12070&amp;Mode=0" TargetMode="External"/><Relationship Id="rId76" Type="http://schemas.openxmlformats.org/officeDocument/2006/relationships/hyperlink" Target="https://rbidocs.rbi.org.in/rdocs/content/pdfs/396FEMA17102019.pdf" TargetMode="External"/><Relationship Id="rId97" Type="http://schemas.openxmlformats.org/officeDocument/2006/relationships/hyperlink" Target="https://www.rbi.org.in/Scripts/BS_ViewMasDirections.aspx?id=10192" TargetMode="External"/><Relationship Id="rId104" Type="http://schemas.openxmlformats.org/officeDocument/2006/relationships/hyperlink" Target="https://www.rbi.org.in/Scripts/NotificationUser.aspx?Id=11970&amp;Mode=0" TargetMode="External"/><Relationship Id="rId7" Type="http://schemas.openxmlformats.org/officeDocument/2006/relationships/hyperlink" Target="https://www.rbi.org.in/Scripts/NotificationUser.aspx?Id=12061&amp;Mode=0" TargetMode="External"/><Relationship Id="rId71" Type="http://schemas.openxmlformats.org/officeDocument/2006/relationships/hyperlink" Target="https://bop.rbi.org.in/" TargetMode="External"/><Relationship Id="rId92" Type="http://schemas.openxmlformats.org/officeDocument/2006/relationships/hyperlink" Target="https://www.rbi.org.in/Scripts/NotificationUser.aspx?Id=12032&amp;Mode=0" TargetMode="External"/><Relationship Id="rId2" Type="http://schemas.openxmlformats.org/officeDocument/2006/relationships/styles" Target="styles.xml"/><Relationship Id="rId29" Type="http://schemas.openxmlformats.org/officeDocument/2006/relationships/hyperlink" Target="https://www.rbi.org.in/Scripts/BS_PressReleaseDisplay.aspx?prid=5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18640</Words>
  <Characters>106254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Agarwal</dc:creator>
  <cp:keywords/>
  <dc:description/>
  <cp:lastModifiedBy>Priti Agarwal</cp:lastModifiedBy>
  <cp:revision>6</cp:revision>
  <dcterms:created xsi:type="dcterms:W3CDTF">2021-07-16T23:04:00Z</dcterms:created>
  <dcterms:modified xsi:type="dcterms:W3CDTF">2021-07-19T07:24:00Z</dcterms:modified>
</cp:coreProperties>
</file>